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10610"/>
      </w:tblGrid>
      <w:tr w:rsidR="006740B5" w14:paraId="785A62C1" w14:textId="77777777" w:rsidTr="004D7E27">
        <w:trPr>
          <w:trHeight w:val="1330"/>
          <w:jc w:val="center"/>
        </w:trPr>
        <w:tc>
          <w:tcPr>
            <w:tcW w:w="10610" w:type="dxa"/>
            <w:tcBorders>
              <w:top w:val="single" w:sz="8" w:space="0" w:color="auto"/>
              <w:left w:val="single" w:sz="8" w:space="0" w:color="auto"/>
              <w:bottom w:val="nil"/>
              <w:right w:val="single" w:sz="8" w:space="0" w:color="auto"/>
            </w:tcBorders>
            <w:shd w:val="clear" w:color="auto" w:fill="00B0F0"/>
            <w:tcMar>
              <w:top w:w="0" w:type="dxa"/>
              <w:left w:w="108" w:type="dxa"/>
              <w:bottom w:w="0" w:type="dxa"/>
              <w:right w:w="108" w:type="dxa"/>
            </w:tcMar>
            <w:vAlign w:val="center"/>
          </w:tcPr>
          <w:p w14:paraId="3B1DDBD2" w14:textId="77777777" w:rsidR="006740B5" w:rsidRDefault="006740B5" w:rsidP="006B56D6">
            <w:pPr>
              <w:pStyle w:val="xmsonormal"/>
              <w:spacing w:after="0" w:line="240" w:lineRule="auto"/>
              <w:jc w:val="center"/>
            </w:pPr>
          </w:p>
          <w:p w14:paraId="0386DEBC" w14:textId="0B18C871" w:rsidR="006740B5" w:rsidRDefault="006740B5" w:rsidP="006B56D6">
            <w:pPr>
              <w:pStyle w:val="xmsonormal"/>
              <w:spacing w:after="0" w:line="240" w:lineRule="auto"/>
              <w:jc w:val="center"/>
            </w:pPr>
            <w:r>
              <w:rPr>
                <w:noProof/>
                <w:sz w:val="28"/>
                <w:szCs w:val="28"/>
              </w:rPr>
              <w:drawing>
                <wp:inline distT="0" distB="0" distL="0" distR="0" wp14:anchorId="11350C19" wp14:editId="354211FB">
                  <wp:extent cx="990600" cy="690155"/>
                  <wp:effectExtent l="0" t="0" r="0" b="0"/>
                  <wp:docPr id="1" name="Picture 1" descr="9BCFE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BCFE54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02116" cy="698178"/>
                          </a:xfrm>
                          <a:prstGeom prst="rect">
                            <a:avLst/>
                          </a:prstGeom>
                          <a:noFill/>
                          <a:ln>
                            <a:noFill/>
                          </a:ln>
                        </pic:spPr>
                      </pic:pic>
                    </a:graphicData>
                  </a:graphic>
                </wp:inline>
              </w:drawing>
            </w:r>
          </w:p>
          <w:p w14:paraId="50CE4C53" w14:textId="77777777" w:rsidR="00267093" w:rsidRDefault="00267093" w:rsidP="006B56D6">
            <w:pPr>
              <w:pStyle w:val="xmsonormal"/>
              <w:spacing w:after="0" w:line="240" w:lineRule="auto"/>
              <w:jc w:val="center"/>
            </w:pPr>
          </w:p>
          <w:p w14:paraId="02C27049" w14:textId="2D6ACC78" w:rsidR="006740B5" w:rsidRPr="004D7E27" w:rsidRDefault="004D7E27" w:rsidP="004D7E27">
            <w:pPr>
              <w:pStyle w:val="xmsonospacing"/>
              <w:spacing w:before="0" w:beforeAutospacing="0" w:after="0" w:afterAutospacing="0"/>
              <w:jc w:val="center"/>
              <w:textAlignment w:val="baseline"/>
              <w:rPr>
                <w:rFonts w:asciiTheme="minorHAnsi" w:hAnsiTheme="minorHAnsi" w:cstheme="minorHAnsi"/>
              </w:rPr>
            </w:pPr>
            <w:r w:rsidRPr="004D7E27">
              <w:rPr>
                <w:rFonts w:asciiTheme="minorHAnsi" w:hAnsiTheme="minorHAnsi" w:cstheme="minorHAnsi"/>
                <w:b/>
                <w:bCs/>
                <w:bdr w:val="none" w:sz="0" w:space="0" w:color="auto" w:frame="1"/>
              </w:rPr>
              <w:t>State Department of Education and Department of Public Health Release “Finish Strong” Guidance</w:t>
            </w:r>
          </w:p>
        </w:tc>
      </w:tr>
      <w:tr w:rsidR="006740B5" w14:paraId="0734568E" w14:textId="77777777" w:rsidTr="004D7E27">
        <w:trPr>
          <w:trHeight w:val="333"/>
          <w:jc w:val="center"/>
        </w:trPr>
        <w:tc>
          <w:tcPr>
            <w:tcW w:w="10610"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3E8B75D6" w14:textId="3C59D889" w:rsidR="00491EAF" w:rsidRPr="004D7E27" w:rsidRDefault="00567FF3" w:rsidP="00491EAF">
            <w:pPr>
              <w:pStyle w:val="xmsonormal"/>
              <w:spacing w:after="0" w:line="240" w:lineRule="auto"/>
              <w:jc w:val="center"/>
              <w:rPr>
                <w:b/>
                <w:bCs/>
                <w:color w:val="000000"/>
                <w:bdr w:val="none" w:sz="0" w:space="0" w:color="auto" w:frame="1"/>
              </w:rPr>
            </w:pPr>
            <w:r w:rsidRPr="004D7E27">
              <w:rPr>
                <w:b/>
                <w:bCs/>
                <w:color w:val="000000"/>
                <w:bdr w:val="none" w:sz="0" w:space="0" w:color="auto" w:frame="1"/>
              </w:rPr>
              <w:t xml:space="preserve">April </w:t>
            </w:r>
            <w:r w:rsidR="004D7E27" w:rsidRPr="004D7E27">
              <w:rPr>
                <w:b/>
                <w:bCs/>
                <w:color w:val="000000"/>
                <w:bdr w:val="none" w:sz="0" w:space="0" w:color="auto" w:frame="1"/>
              </w:rPr>
              <w:t>9</w:t>
            </w:r>
            <w:r w:rsidR="00491EAF" w:rsidRPr="004D7E27">
              <w:rPr>
                <w:b/>
                <w:bCs/>
                <w:color w:val="000000"/>
                <w:bdr w:val="none" w:sz="0" w:space="0" w:color="auto" w:frame="1"/>
              </w:rPr>
              <w:t>, 2</w:t>
            </w:r>
            <w:r w:rsidR="006740B5" w:rsidRPr="004D7E27">
              <w:rPr>
                <w:b/>
                <w:bCs/>
                <w:color w:val="000000"/>
                <w:bdr w:val="none" w:sz="0" w:space="0" w:color="auto" w:frame="1"/>
              </w:rPr>
              <w:t>02</w:t>
            </w:r>
            <w:r w:rsidRPr="004D7E27">
              <w:rPr>
                <w:b/>
                <w:bCs/>
                <w:color w:val="000000"/>
                <w:bdr w:val="none" w:sz="0" w:space="0" w:color="auto" w:frame="1"/>
              </w:rPr>
              <w:t>1</w:t>
            </w:r>
          </w:p>
        </w:tc>
      </w:tr>
      <w:tr w:rsidR="006740B5" w14:paraId="1630C3BD" w14:textId="77777777" w:rsidTr="00B10D66">
        <w:trPr>
          <w:trHeight w:val="48"/>
          <w:jc w:val="center"/>
        </w:trPr>
        <w:tc>
          <w:tcPr>
            <w:tcW w:w="10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A9B317" w14:textId="5C61E891" w:rsidR="004D7E27" w:rsidRPr="004D7E27" w:rsidRDefault="004D7E27" w:rsidP="004D7E27">
            <w:pPr>
              <w:jc w:val="both"/>
              <w:textAlignment w:val="baseline"/>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4C3DB796" wp14:editId="35E3F7C2">
                  <wp:simplePos x="0" y="0"/>
                  <wp:positionH relativeFrom="column">
                    <wp:posOffset>85725</wp:posOffset>
                  </wp:positionH>
                  <wp:positionV relativeFrom="paragraph">
                    <wp:posOffset>170180</wp:posOffset>
                  </wp:positionV>
                  <wp:extent cx="6476365" cy="1069340"/>
                  <wp:effectExtent l="0" t="0" r="635" b="0"/>
                  <wp:wrapSquare wrapText="bothSides"/>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76365" cy="1069340"/>
                          </a:xfrm>
                          <a:prstGeom prst="rect">
                            <a:avLst/>
                          </a:prstGeom>
                        </pic:spPr>
                      </pic:pic>
                    </a:graphicData>
                  </a:graphic>
                  <wp14:sizeRelH relativeFrom="margin">
                    <wp14:pctWidth>0</wp14:pctWidth>
                  </wp14:sizeRelH>
                  <wp14:sizeRelV relativeFrom="margin">
                    <wp14:pctHeight>0</wp14:pctHeight>
                  </wp14:sizeRelV>
                </wp:anchor>
              </w:drawing>
            </w:r>
          </w:p>
          <w:p w14:paraId="5848324D" w14:textId="1675805E" w:rsidR="004D7E27" w:rsidRPr="004D7E27" w:rsidRDefault="004D7E27" w:rsidP="004D7E27">
            <w:pPr>
              <w:pStyle w:val="xxmsonormal"/>
              <w:spacing w:before="0" w:beforeAutospacing="0" w:after="0" w:afterAutospacing="0" w:line="300" w:lineRule="atLeast"/>
              <w:jc w:val="center"/>
              <w:textAlignment w:val="baseline"/>
              <w:rPr>
                <w:rFonts w:asciiTheme="minorHAnsi" w:hAnsiTheme="minorHAnsi" w:cstheme="minorHAnsi"/>
              </w:rPr>
            </w:pPr>
            <w:r w:rsidRPr="004D7E27">
              <w:rPr>
                <w:rFonts w:asciiTheme="minorHAnsi" w:hAnsiTheme="minorHAnsi" w:cstheme="minorHAnsi"/>
                <w:b/>
                <w:bCs/>
                <w:bdr w:val="none" w:sz="0" w:space="0" w:color="auto" w:frame="1"/>
              </w:rPr>
              <w:t>State Department of Education and Department of Public Health Release “Finish Strong” Guidance</w:t>
            </w:r>
          </w:p>
          <w:p w14:paraId="64BE8F9C" w14:textId="6992400E"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p>
          <w:p w14:paraId="52EE6290" w14:textId="77777777" w:rsidR="004D7E27" w:rsidRPr="004D7E27" w:rsidRDefault="004D7E27" w:rsidP="004D7E27">
            <w:pPr>
              <w:pStyle w:val="xmsonospacing"/>
              <w:spacing w:before="0" w:beforeAutospacing="0" w:after="0" w:afterAutospacing="0"/>
              <w:jc w:val="center"/>
              <w:textAlignment w:val="baseline"/>
              <w:rPr>
                <w:rFonts w:asciiTheme="minorHAnsi" w:hAnsiTheme="minorHAnsi" w:cstheme="minorHAnsi"/>
                <w:sz w:val="22"/>
                <w:szCs w:val="22"/>
              </w:rPr>
            </w:pPr>
            <w:r w:rsidRPr="004D7E27">
              <w:rPr>
                <w:rFonts w:asciiTheme="minorHAnsi" w:hAnsiTheme="minorHAnsi" w:cstheme="minorHAnsi"/>
                <w:i/>
                <w:iCs/>
                <w:sz w:val="22"/>
                <w:szCs w:val="22"/>
                <w:bdr w:val="none" w:sz="0" w:space="0" w:color="auto" w:frame="1"/>
              </w:rPr>
              <w:t>Reminds School Communities that Everyone Has a Role in Protecting In-Person Learning for Remainder of 2020-21</w:t>
            </w:r>
          </w:p>
          <w:p w14:paraId="1E48059B" w14:textId="70158927"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p>
          <w:p w14:paraId="4C0BD63D" w14:textId="77777777"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r w:rsidRPr="004D7E27">
              <w:rPr>
                <w:rFonts w:asciiTheme="minorHAnsi" w:hAnsiTheme="minorHAnsi" w:cstheme="minorHAnsi"/>
                <w:sz w:val="22"/>
                <w:szCs w:val="22"/>
                <w:bdr w:val="none" w:sz="0" w:space="0" w:color="auto" w:frame="1"/>
              </w:rPr>
              <w:t xml:space="preserve">(Hartford) – The Connecticut State Department of Education (CSDE) and Connecticut State Department of Public Health (CT DPH) have partnered to issue guidance identifying continued priorities for the 2020-21 academic year and into the summer to assist school administrators, teachers, school staff, students and families with finishing the final portion of the school year strong. The </w:t>
            </w:r>
            <w:hyperlink r:id="rId8" w:history="1">
              <w:r w:rsidRPr="004D7E27">
                <w:rPr>
                  <w:rStyle w:val="Hyperlink"/>
                  <w:rFonts w:asciiTheme="minorHAnsi" w:hAnsiTheme="minorHAnsi" w:cstheme="minorHAnsi"/>
                  <w:sz w:val="22"/>
                  <w:szCs w:val="22"/>
                  <w:bdr w:val="none" w:sz="0" w:space="0" w:color="auto" w:frame="1"/>
                </w:rPr>
                <w:t>“Finish Strong”</w:t>
              </w:r>
            </w:hyperlink>
            <w:r w:rsidRPr="004D7E27">
              <w:rPr>
                <w:rFonts w:asciiTheme="minorHAnsi" w:hAnsiTheme="minorHAnsi" w:cstheme="minorHAnsi"/>
                <w:sz w:val="22"/>
                <w:szCs w:val="22"/>
                <w:bdr w:val="none" w:sz="0" w:space="0" w:color="auto" w:frame="1"/>
              </w:rPr>
              <w:t xml:space="preserve"> guidance affirms the importance of the mitigation strategies the state focused on this year, reminds school communities to remain vigilant despite warmer weather and vaccinations, and provides additional recommendations around the use of mitigation efforts in school, the community, and if traveling.</w:t>
            </w:r>
          </w:p>
          <w:p w14:paraId="7D26AE35" w14:textId="3582A58B"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p>
          <w:p w14:paraId="4FF63578" w14:textId="77777777"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r w:rsidRPr="004D7E27">
              <w:rPr>
                <w:rFonts w:asciiTheme="minorHAnsi" w:hAnsiTheme="minorHAnsi" w:cstheme="minorHAnsi"/>
                <w:sz w:val="22"/>
                <w:szCs w:val="22"/>
                <w:bdr w:val="none" w:sz="0" w:space="0" w:color="auto" w:frame="1"/>
              </w:rPr>
              <w:t xml:space="preserve">Connecticut schools have been setting a standard, nationwide, to provide students substantial in-person learning opportunities during the COVID-19 pandemic. Thanks to the ongoing efforts of districts, individuals and families to adapt, work together and protect each other, 99.9 percent of all students now have access to an </w:t>
            </w:r>
            <w:hyperlink r:id="rId9" w:history="1">
              <w:r w:rsidRPr="004D7E27">
                <w:rPr>
                  <w:rStyle w:val="Hyperlink"/>
                  <w:rFonts w:asciiTheme="minorHAnsi" w:hAnsiTheme="minorHAnsi" w:cstheme="minorHAnsi"/>
                  <w:sz w:val="22"/>
                  <w:szCs w:val="22"/>
                  <w:bdr w:val="none" w:sz="0" w:space="0" w:color="auto" w:frame="1"/>
                </w:rPr>
                <w:t>in-school learning option</w:t>
              </w:r>
            </w:hyperlink>
            <w:r w:rsidRPr="004D7E27">
              <w:rPr>
                <w:rFonts w:asciiTheme="minorHAnsi" w:hAnsiTheme="minorHAnsi" w:cstheme="minorHAnsi"/>
                <w:sz w:val="22"/>
                <w:szCs w:val="22"/>
                <w:bdr w:val="none" w:sz="0" w:space="0" w:color="auto" w:frame="1"/>
              </w:rPr>
              <w:t>.</w:t>
            </w:r>
          </w:p>
          <w:p w14:paraId="336E0D25" w14:textId="3BF6AF49" w:rsidR="004D7E27" w:rsidRPr="004D7E27" w:rsidRDefault="004D7E27" w:rsidP="004D7E27">
            <w:pPr>
              <w:pStyle w:val="xmsonospacing"/>
              <w:spacing w:before="0" w:beforeAutospacing="0" w:after="0" w:afterAutospacing="0"/>
              <w:jc w:val="both"/>
              <w:textAlignment w:val="baseline"/>
              <w:rPr>
                <w:rFonts w:asciiTheme="minorHAnsi" w:hAnsiTheme="minorHAnsi" w:cstheme="minorHAnsi"/>
                <w:sz w:val="22"/>
                <w:szCs w:val="22"/>
              </w:rPr>
            </w:pPr>
          </w:p>
          <w:tbl>
            <w:tblPr>
              <w:tblW w:w="6011" w:type="dxa"/>
              <w:jc w:val="center"/>
              <w:tblCellMar>
                <w:left w:w="0" w:type="dxa"/>
                <w:right w:w="0" w:type="dxa"/>
              </w:tblCellMar>
              <w:tblLook w:val="04A0" w:firstRow="1" w:lastRow="0" w:firstColumn="1" w:lastColumn="0" w:noHBand="0" w:noVBand="1"/>
            </w:tblPr>
            <w:tblGrid>
              <w:gridCol w:w="6011"/>
            </w:tblGrid>
            <w:tr w:rsidR="004D7E27" w:rsidRPr="004D7E27" w14:paraId="7B89D295" w14:textId="77777777" w:rsidTr="004D7E27">
              <w:trPr>
                <w:trHeight w:val="151"/>
                <w:jc w:val="center"/>
              </w:trPr>
              <w:tc>
                <w:tcPr>
                  <w:tcW w:w="6011" w:type="dxa"/>
                  <w:shd w:val="clear" w:color="auto" w:fill="1F4E78"/>
                  <w:noWrap/>
                  <w:tcMar>
                    <w:top w:w="0" w:type="dxa"/>
                    <w:left w:w="108" w:type="dxa"/>
                    <w:bottom w:w="0" w:type="dxa"/>
                    <w:right w:w="108" w:type="dxa"/>
                  </w:tcMar>
                  <w:vAlign w:val="bottom"/>
                  <w:hideMark/>
                </w:tcPr>
                <w:p w14:paraId="1FFB0209"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b/>
                      <w:bCs/>
                      <w:color w:val="FFFFFF"/>
                      <w:bdr w:val="none" w:sz="0" w:space="0" w:color="auto" w:frame="1"/>
                    </w:rPr>
                    <w:t>Connecticut Learning Models*</w:t>
                  </w:r>
                </w:p>
              </w:tc>
            </w:tr>
            <w:tr w:rsidR="004D7E27" w:rsidRPr="004D7E27" w14:paraId="1FB2F691" w14:textId="77777777" w:rsidTr="004D7E27">
              <w:trPr>
                <w:trHeight w:val="351"/>
                <w:jc w:val="center"/>
              </w:trPr>
              <w:tc>
                <w:tcPr>
                  <w:tcW w:w="6011" w:type="dxa"/>
                  <w:shd w:val="clear" w:color="auto" w:fill="1F4E78"/>
                  <w:tcMar>
                    <w:top w:w="0" w:type="dxa"/>
                    <w:left w:w="108" w:type="dxa"/>
                    <w:bottom w:w="0" w:type="dxa"/>
                    <w:right w:w="108" w:type="dxa"/>
                  </w:tcMar>
                  <w:vAlign w:val="center"/>
                  <w:hideMark/>
                </w:tcPr>
                <w:p w14:paraId="71608A9F"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b/>
                      <w:bCs/>
                      <w:color w:val="FFFFFF"/>
                      <w:bdr w:val="none" w:sz="0" w:space="0" w:color="auto" w:frame="1"/>
                    </w:rPr>
                    <w:t>March 29 - April 2</w:t>
                  </w:r>
                </w:p>
              </w:tc>
            </w:tr>
            <w:tr w:rsidR="004D7E27" w:rsidRPr="004D7E27" w14:paraId="216E35CE" w14:textId="77777777" w:rsidTr="004D7E27">
              <w:trPr>
                <w:trHeight w:val="151"/>
                <w:jc w:val="center"/>
              </w:trPr>
              <w:tc>
                <w:tcPr>
                  <w:tcW w:w="6011"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2FA9D572" w14:textId="43308279" w:rsidR="004D7E27" w:rsidRPr="004D7E27" w:rsidRDefault="004D7E27" w:rsidP="004D7E27">
                  <w:pPr>
                    <w:pStyle w:val="xmsonormal"/>
                    <w:spacing w:after="0"/>
                    <w:jc w:val="center"/>
                    <w:rPr>
                      <w:rFonts w:asciiTheme="minorHAnsi" w:hAnsiTheme="minorHAnsi" w:cstheme="minorHAnsi"/>
                    </w:rPr>
                  </w:pPr>
                </w:p>
              </w:tc>
            </w:tr>
            <w:tr w:rsidR="004D7E27" w:rsidRPr="004D7E27" w14:paraId="1D188982" w14:textId="77777777" w:rsidTr="004D7E27">
              <w:trPr>
                <w:trHeight w:val="151"/>
                <w:jc w:val="center"/>
              </w:trPr>
              <w:tc>
                <w:tcPr>
                  <w:tcW w:w="6011" w:type="dxa"/>
                  <w:tcBorders>
                    <w:top w:val="nil"/>
                    <w:left w:val="single" w:sz="8" w:space="0" w:color="auto"/>
                    <w:bottom w:val="nil"/>
                    <w:right w:val="single" w:sz="8" w:space="0" w:color="auto"/>
                  </w:tcBorders>
                  <w:tcMar>
                    <w:top w:w="0" w:type="dxa"/>
                    <w:left w:w="108" w:type="dxa"/>
                    <w:bottom w:w="0" w:type="dxa"/>
                    <w:right w:w="108" w:type="dxa"/>
                  </w:tcMar>
                  <w:hideMark/>
                </w:tcPr>
                <w:p w14:paraId="1C12ECF1"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color w:val="333333"/>
                      <w:bdr w:val="none" w:sz="0" w:space="0" w:color="auto" w:frame="1"/>
                    </w:rPr>
                    <w:t>70.10%</w:t>
                  </w:r>
                </w:p>
              </w:tc>
            </w:tr>
            <w:tr w:rsidR="004D7E27" w:rsidRPr="004D7E27" w14:paraId="6A850182" w14:textId="77777777" w:rsidTr="004D7E27">
              <w:trPr>
                <w:trHeight w:val="151"/>
                <w:jc w:val="center"/>
              </w:trPr>
              <w:tc>
                <w:tcPr>
                  <w:tcW w:w="6011" w:type="dxa"/>
                  <w:tcBorders>
                    <w:top w:val="nil"/>
                    <w:left w:val="single" w:sz="8" w:space="0" w:color="auto"/>
                    <w:bottom w:val="nil"/>
                    <w:right w:val="single" w:sz="8" w:space="0" w:color="auto"/>
                  </w:tcBorders>
                  <w:tcMar>
                    <w:top w:w="0" w:type="dxa"/>
                    <w:left w:w="108" w:type="dxa"/>
                    <w:bottom w:w="0" w:type="dxa"/>
                    <w:right w:w="108" w:type="dxa"/>
                  </w:tcMar>
                  <w:hideMark/>
                </w:tcPr>
                <w:p w14:paraId="515FFD4B"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b/>
                      <w:bCs/>
                      <w:color w:val="333333"/>
                      <w:bdr w:val="none" w:sz="0" w:space="0" w:color="auto" w:frame="1"/>
                    </w:rPr>
                    <w:t>Fully In-Person</w:t>
                  </w:r>
                </w:p>
              </w:tc>
            </w:tr>
            <w:tr w:rsidR="004D7E27" w:rsidRPr="004D7E27" w14:paraId="56F5B812" w14:textId="77777777" w:rsidTr="004D7E27">
              <w:trPr>
                <w:trHeight w:val="151"/>
                <w:jc w:val="center"/>
              </w:trPr>
              <w:tc>
                <w:tcPr>
                  <w:tcW w:w="6011" w:type="dxa"/>
                  <w:tcBorders>
                    <w:top w:val="nil"/>
                    <w:left w:val="single" w:sz="8" w:space="0" w:color="auto"/>
                    <w:bottom w:val="nil"/>
                    <w:right w:val="single" w:sz="8" w:space="0" w:color="auto"/>
                  </w:tcBorders>
                  <w:noWrap/>
                  <w:tcMar>
                    <w:top w:w="0" w:type="dxa"/>
                    <w:left w:w="108" w:type="dxa"/>
                    <w:bottom w:w="0" w:type="dxa"/>
                    <w:right w:w="108" w:type="dxa"/>
                  </w:tcMar>
                  <w:hideMark/>
                </w:tcPr>
                <w:p w14:paraId="0B97BB36" w14:textId="370A351F" w:rsidR="004D7E27" w:rsidRPr="004D7E27" w:rsidRDefault="004D7E27" w:rsidP="004D7E27">
                  <w:pPr>
                    <w:pStyle w:val="xmsonormal"/>
                    <w:spacing w:after="0"/>
                    <w:jc w:val="center"/>
                    <w:rPr>
                      <w:rFonts w:asciiTheme="minorHAnsi" w:hAnsiTheme="minorHAnsi" w:cstheme="minorHAnsi"/>
                    </w:rPr>
                  </w:pPr>
                </w:p>
              </w:tc>
            </w:tr>
            <w:tr w:rsidR="004D7E27" w:rsidRPr="004D7E27" w14:paraId="35A236AC" w14:textId="77777777" w:rsidTr="004D7E27">
              <w:trPr>
                <w:trHeight w:val="151"/>
                <w:jc w:val="center"/>
              </w:trPr>
              <w:tc>
                <w:tcPr>
                  <w:tcW w:w="6011" w:type="dxa"/>
                  <w:tcBorders>
                    <w:top w:val="nil"/>
                    <w:left w:val="single" w:sz="8" w:space="0" w:color="auto"/>
                    <w:bottom w:val="nil"/>
                    <w:right w:val="single" w:sz="8" w:space="0" w:color="auto"/>
                  </w:tcBorders>
                  <w:tcMar>
                    <w:top w:w="0" w:type="dxa"/>
                    <w:left w:w="108" w:type="dxa"/>
                    <w:bottom w:w="0" w:type="dxa"/>
                    <w:right w:w="108" w:type="dxa"/>
                  </w:tcMar>
                  <w:hideMark/>
                </w:tcPr>
                <w:p w14:paraId="2BA35FE2"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color w:val="333333"/>
                      <w:bdr w:val="none" w:sz="0" w:space="0" w:color="auto" w:frame="1"/>
                    </w:rPr>
                    <w:t>27.40%</w:t>
                  </w:r>
                </w:p>
              </w:tc>
            </w:tr>
            <w:tr w:rsidR="004D7E27" w:rsidRPr="004D7E27" w14:paraId="58DA2D54" w14:textId="77777777" w:rsidTr="004D7E27">
              <w:trPr>
                <w:trHeight w:val="151"/>
                <w:jc w:val="center"/>
              </w:trPr>
              <w:tc>
                <w:tcPr>
                  <w:tcW w:w="6011" w:type="dxa"/>
                  <w:tcBorders>
                    <w:top w:val="nil"/>
                    <w:left w:val="single" w:sz="8" w:space="0" w:color="auto"/>
                    <w:bottom w:val="nil"/>
                    <w:right w:val="single" w:sz="8" w:space="0" w:color="auto"/>
                  </w:tcBorders>
                  <w:tcMar>
                    <w:top w:w="0" w:type="dxa"/>
                    <w:left w:w="108" w:type="dxa"/>
                    <w:bottom w:w="0" w:type="dxa"/>
                    <w:right w:w="108" w:type="dxa"/>
                  </w:tcMar>
                  <w:hideMark/>
                </w:tcPr>
                <w:p w14:paraId="2B182899"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b/>
                      <w:bCs/>
                      <w:color w:val="333333"/>
                      <w:bdr w:val="none" w:sz="0" w:space="0" w:color="auto" w:frame="1"/>
                    </w:rPr>
                    <w:t>Hybrid</w:t>
                  </w:r>
                </w:p>
              </w:tc>
            </w:tr>
            <w:tr w:rsidR="004D7E27" w:rsidRPr="004D7E27" w14:paraId="244D706C" w14:textId="77777777" w:rsidTr="004D7E27">
              <w:trPr>
                <w:trHeight w:val="151"/>
                <w:jc w:val="center"/>
              </w:trPr>
              <w:tc>
                <w:tcPr>
                  <w:tcW w:w="6011" w:type="dxa"/>
                  <w:tcBorders>
                    <w:top w:val="nil"/>
                    <w:left w:val="single" w:sz="8" w:space="0" w:color="auto"/>
                    <w:bottom w:val="nil"/>
                    <w:right w:val="single" w:sz="8" w:space="0" w:color="auto"/>
                  </w:tcBorders>
                  <w:noWrap/>
                  <w:tcMar>
                    <w:top w:w="0" w:type="dxa"/>
                    <w:left w:w="108" w:type="dxa"/>
                    <w:bottom w:w="0" w:type="dxa"/>
                    <w:right w:w="108" w:type="dxa"/>
                  </w:tcMar>
                  <w:hideMark/>
                </w:tcPr>
                <w:p w14:paraId="4509CEC0" w14:textId="1DA4C5F3" w:rsidR="004D7E27" w:rsidRPr="004D7E27" w:rsidRDefault="004D7E27" w:rsidP="004D7E27">
                  <w:pPr>
                    <w:pStyle w:val="xmsonormal"/>
                    <w:spacing w:after="0"/>
                    <w:jc w:val="center"/>
                    <w:rPr>
                      <w:rFonts w:asciiTheme="minorHAnsi" w:hAnsiTheme="minorHAnsi" w:cstheme="minorHAnsi"/>
                    </w:rPr>
                  </w:pPr>
                </w:p>
              </w:tc>
            </w:tr>
            <w:tr w:rsidR="004D7E27" w:rsidRPr="004D7E27" w14:paraId="7C24D0F9" w14:textId="77777777" w:rsidTr="004D7E27">
              <w:trPr>
                <w:trHeight w:val="151"/>
                <w:jc w:val="center"/>
              </w:trPr>
              <w:tc>
                <w:tcPr>
                  <w:tcW w:w="6011" w:type="dxa"/>
                  <w:tcBorders>
                    <w:top w:val="nil"/>
                    <w:left w:val="single" w:sz="8" w:space="0" w:color="auto"/>
                    <w:bottom w:val="nil"/>
                    <w:right w:val="single" w:sz="8" w:space="0" w:color="auto"/>
                  </w:tcBorders>
                  <w:tcMar>
                    <w:top w:w="0" w:type="dxa"/>
                    <w:left w:w="108" w:type="dxa"/>
                    <w:bottom w:w="0" w:type="dxa"/>
                    <w:right w:w="108" w:type="dxa"/>
                  </w:tcMar>
                  <w:hideMark/>
                </w:tcPr>
                <w:p w14:paraId="49DE9C73"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color w:val="333333"/>
                      <w:bdr w:val="none" w:sz="0" w:space="0" w:color="auto" w:frame="1"/>
                    </w:rPr>
                    <w:t>2.50%</w:t>
                  </w:r>
                </w:p>
              </w:tc>
            </w:tr>
            <w:tr w:rsidR="004D7E27" w:rsidRPr="004D7E27" w14:paraId="4AE70397" w14:textId="77777777" w:rsidTr="004D7E27">
              <w:trPr>
                <w:trHeight w:val="405"/>
                <w:jc w:val="center"/>
              </w:trPr>
              <w:tc>
                <w:tcPr>
                  <w:tcW w:w="6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1E18F" w14:textId="77777777" w:rsidR="004D7E27" w:rsidRPr="004D7E27" w:rsidRDefault="004D7E27" w:rsidP="004D7E27">
                  <w:pPr>
                    <w:pStyle w:val="xmsonormal"/>
                    <w:spacing w:after="0"/>
                    <w:jc w:val="center"/>
                    <w:rPr>
                      <w:rFonts w:asciiTheme="minorHAnsi" w:hAnsiTheme="minorHAnsi" w:cstheme="minorHAnsi"/>
                    </w:rPr>
                  </w:pPr>
                  <w:r w:rsidRPr="004D7E27">
                    <w:rPr>
                      <w:rFonts w:asciiTheme="minorHAnsi" w:hAnsiTheme="minorHAnsi" w:cstheme="minorHAnsi"/>
                      <w:b/>
                      <w:bCs/>
                      <w:color w:val="333333"/>
                      <w:bdr w:val="none" w:sz="0" w:space="0" w:color="auto" w:frame="1"/>
                    </w:rPr>
                    <w:t>Fully Remote</w:t>
                  </w:r>
                </w:p>
              </w:tc>
            </w:tr>
            <w:tr w:rsidR="004D7E27" w:rsidRPr="004D7E27" w14:paraId="540FD339" w14:textId="77777777" w:rsidTr="004D7E27">
              <w:trPr>
                <w:trHeight w:val="913"/>
                <w:jc w:val="center"/>
              </w:trPr>
              <w:tc>
                <w:tcPr>
                  <w:tcW w:w="6011"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B818D20" w14:textId="77777777" w:rsidR="004D7E27" w:rsidRPr="004D7E27" w:rsidRDefault="004D7E27" w:rsidP="004D7E27">
                  <w:pPr>
                    <w:pStyle w:val="xmsonormal"/>
                    <w:spacing w:after="0"/>
                    <w:jc w:val="both"/>
                    <w:rPr>
                      <w:rFonts w:asciiTheme="minorHAnsi" w:hAnsiTheme="minorHAnsi" w:cstheme="minorHAnsi"/>
                    </w:rPr>
                  </w:pPr>
                  <w:r w:rsidRPr="004D7E27">
                    <w:rPr>
                      <w:rFonts w:asciiTheme="minorHAnsi" w:hAnsiTheme="minorHAnsi" w:cstheme="minorHAnsi"/>
                      <w:color w:val="333333"/>
                      <w:bdr w:val="none" w:sz="0" w:space="0" w:color="auto" w:frame="1"/>
                    </w:rPr>
                    <w:t xml:space="preserve">*Represents the percentage of </w:t>
                  </w:r>
                  <w:proofErr w:type="gramStart"/>
                  <w:r w:rsidRPr="004D7E27">
                    <w:rPr>
                      <w:rFonts w:asciiTheme="minorHAnsi" w:hAnsiTheme="minorHAnsi" w:cstheme="minorHAnsi"/>
                      <w:color w:val="333333"/>
                      <w:bdr w:val="none" w:sz="0" w:space="0" w:color="auto" w:frame="1"/>
                    </w:rPr>
                    <w:t>public school</w:t>
                  </w:r>
                  <w:proofErr w:type="gramEnd"/>
                  <w:r w:rsidRPr="004D7E27">
                    <w:rPr>
                      <w:rFonts w:asciiTheme="minorHAnsi" w:hAnsiTheme="minorHAnsi" w:cstheme="minorHAnsi"/>
                      <w:color w:val="333333"/>
                      <w:bdr w:val="none" w:sz="0" w:space="0" w:color="auto" w:frame="1"/>
                    </w:rPr>
                    <w:t xml:space="preserve"> districts offering a particular learning model during the reporting period. If a district is offering different models in different grades, the district is counted under the model offered in </w:t>
                  </w:r>
                  <w:proofErr w:type="gramStart"/>
                  <w:r w:rsidRPr="004D7E27">
                    <w:rPr>
                      <w:rFonts w:asciiTheme="minorHAnsi" w:hAnsiTheme="minorHAnsi" w:cstheme="minorHAnsi"/>
                      <w:color w:val="333333"/>
                      <w:bdr w:val="none" w:sz="0" w:space="0" w:color="auto" w:frame="1"/>
                    </w:rPr>
                    <w:t>the majority of</w:t>
                  </w:r>
                  <w:proofErr w:type="gramEnd"/>
                  <w:r w:rsidRPr="004D7E27">
                    <w:rPr>
                      <w:rFonts w:asciiTheme="minorHAnsi" w:hAnsiTheme="minorHAnsi" w:cstheme="minorHAnsi"/>
                      <w:color w:val="333333"/>
                      <w:bdr w:val="none" w:sz="0" w:space="0" w:color="auto" w:frame="1"/>
                    </w:rPr>
                    <w:t xml:space="preserve"> grades.</w:t>
                  </w:r>
                </w:p>
              </w:tc>
            </w:tr>
          </w:tbl>
          <w:p w14:paraId="3933E04D" w14:textId="22A037F5" w:rsidR="00CB1264" w:rsidRPr="004D7E27" w:rsidRDefault="00CB1264" w:rsidP="004D7E27">
            <w:pPr>
              <w:pStyle w:val="xmsonormal"/>
              <w:spacing w:after="0"/>
              <w:jc w:val="both"/>
              <w:textAlignment w:val="baseline"/>
              <w:rPr>
                <w:rFonts w:asciiTheme="minorHAnsi" w:hAnsiTheme="minorHAnsi" w:cstheme="minorHAnsi"/>
              </w:rPr>
            </w:pPr>
          </w:p>
        </w:tc>
      </w:tr>
    </w:tbl>
    <w:p w14:paraId="6496056E" w14:textId="77777777" w:rsidR="004B7065" w:rsidRPr="004B7065" w:rsidRDefault="004B7065">
      <w:pPr>
        <w:rPr>
          <w:sz w:val="2"/>
          <w:szCs w:val="2"/>
        </w:rPr>
      </w:pPr>
    </w:p>
    <w:sectPr w:rsidR="004B7065" w:rsidRPr="004B7065" w:rsidSect="00674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3C"/>
    <w:multiLevelType w:val="multilevel"/>
    <w:tmpl w:val="ED6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73298"/>
    <w:multiLevelType w:val="hybridMultilevel"/>
    <w:tmpl w:val="3A2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E27D3"/>
    <w:multiLevelType w:val="multilevel"/>
    <w:tmpl w:val="0678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710B0"/>
    <w:multiLevelType w:val="hybridMultilevel"/>
    <w:tmpl w:val="A606D2A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407D4DA8"/>
    <w:multiLevelType w:val="hybridMultilevel"/>
    <w:tmpl w:val="CD90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00EC4"/>
    <w:multiLevelType w:val="multilevel"/>
    <w:tmpl w:val="424C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225826"/>
    <w:multiLevelType w:val="hybridMultilevel"/>
    <w:tmpl w:val="5E182EBC"/>
    <w:lvl w:ilvl="0" w:tplc="729896A2">
      <w:numFmt w:val="bullet"/>
      <w:lvlText w:val="·"/>
      <w:lvlJc w:val="left"/>
      <w:pPr>
        <w:ind w:left="480" w:hanging="360"/>
      </w:pPr>
      <w:rPr>
        <w:rFonts w:ascii="inherit" w:eastAsiaTheme="minorHAnsi" w:hAnsi="inherit" w:cs="Calibri"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6A2314B8"/>
    <w:multiLevelType w:val="multilevel"/>
    <w:tmpl w:val="0588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783075"/>
    <w:multiLevelType w:val="hybridMultilevel"/>
    <w:tmpl w:val="4E8E218E"/>
    <w:lvl w:ilvl="0" w:tplc="04090001">
      <w:start w:val="1"/>
      <w:numFmt w:val="bullet"/>
      <w:lvlText w:val=""/>
      <w:lvlJc w:val="left"/>
      <w:pPr>
        <w:ind w:left="480" w:hanging="360"/>
      </w:pPr>
      <w:rPr>
        <w:rFonts w:ascii="Symbol" w:hAnsi="Symbol" w:hint="default"/>
        <w:color w:val="0A0A0A"/>
        <w:sz w:val="2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6F5B4EB6"/>
    <w:multiLevelType w:val="multilevel"/>
    <w:tmpl w:val="AE32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9"/>
  </w:num>
  <w:num w:numId="5">
    <w:abstractNumId w:val="5"/>
  </w:num>
  <w:num w:numId="6">
    <w:abstractNumId w:val="7"/>
  </w:num>
  <w:num w:numId="7">
    <w:abstractNumId w:val="3"/>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B5"/>
    <w:rsid w:val="00120311"/>
    <w:rsid w:val="00195417"/>
    <w:rsid w:val="00267093"/>
    <w:rsid w:val="002B28A4"/>
    <w:rsid w:val="00305FF4"/>
    <w:rsid w:val="003444B7"/>
    <w:rsid w:val="003A5999"/>
    <w:rsid w:val="00491EAF"/>
    <w:rsid w:val="004B7065"/>
    <w:rsid w:val="004D7E27"/>
    <w:rsid w:val="00567FF3"/>
    <w:rsid w:val="005F1F22"/>
    <w:rsid w:val="006357EC"/>
    <w:rsid w:val="006740B5"/>
    <w:rsid w:val="00687422"/>
    <w:rsid w:val="006B56D6"/>
    <w:rsid w:val="007E1B6C"/>
    <w:rsid w:val="009A0D5D"/>
    <w:rsid w:val="00AE7FDF"/>
    <w:rsid w:val="00B10D66"/>
    <w:rsid w:val="00CB1264"/>
    <w:rsid w:val="00ED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883"/>
  <w15:chartTrackingRefBased/>
  <w15:docId w15:val="{F3A07588-953B-4F8D-BA9C-8961295F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0B5"/>
    <w:rPr>
      <w:color w:val="0563C1"/>
      <w:u w:val="single"/>
    </w:rPr>
  </w:style>
  <w:style w:type="paragraph" w:customStyle="1" w:styleId="xmsonormal">
    <w:name w:val="x_msonormal"/>
    <w:basedOn w:val="Normal"/>
    <w:rsid w:val="006740B5"/>
    <w:pPr>
      <w:spacing w:after="160" w:line="252" w:lineRule="auto"/>
    </w:pPr>
  </w:style>
  <w:style w:type="paragraph" w:customStyle="1" w:styleId="xxmsonormal">
    <w:name w:val="x_xmsonormal"/>
    <w:basedOn w:val="Normal"/>
    <w:rsid w:val="006740B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B7065"/>
    <w:rPr>
      <w:i/>
      <w:iCs/>
    </w:rPr>
  </w:style>
  <w:style w:type="character" w:styleId="UnresolvedMention">
    <w:name w:val="Unresolved Mention"/>
    <w:basedOn w:val="DefaultParagraphFont"/>
    <w:uiPriority w:val="99"/>
    <w:semiHidden/>
    <w:unhideWhenUsed/>
    <w:rsid w:val="006357EC"/>
    <w:rPr>
      <w:color w:val="605E5C"/>
      <w:shd w:val="clear" w:color="auto" w:fill="E1DFDD"/>
    </w:rPr>
  </w:style>
  <w:style w:type="paragraph" w:customStyle="1" w:styleId="xmsonospacing">
    <w:name w:val="x_msonospacing"/>
    <w:basedOn w:val="Normal"/>
    <w:rsid w:val="004D7E2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50592">
      <w:bodyDiv w:val="1"/>
      <w:marLeft w:val="0"/>
      <w:marRight w:val="0"/>
      <w:marTop w:val="0"/>
      <w:marBottom w:val="0"/>
      <w:divBdr>
        <w:top w:val="none" w:sz="0" w:space="0" w:color="auto"/>
        <w:left w:val="none" w:sz="0" w:space="0" w:color="auto"/>
        <w:bottom w:val="none" w:sz="0" w:space="0" w:color="auto"/>
        <w:right w:val="none" w:sz="0" w:space="0" w:color="auto"/>
      </w:divBdr>
    </w:div>
    <w:div w:id="338168029">
      <w:bodyDiv w:val="1"/>
      <w:marLeft w:val="0"/>
      <w:marRight w:val="0"/>
      <w:marTop w:val="0"/>
      <w:marBottom w:val="0"/>
      <w:divBdr>
        <w:top w:val="none" w:sz="0" w:space="0" w:color="auto"/>
        <w:left w:val="none" w:sz="0" w:space="0" w:color="auto"/>
        <w:bottom w:val="none" w:sz="0" w:space="0" w:color="auto"/>
        <w:right w:val="none" w:sz="0" w:space="0" w:color="auto"/>
      </w:divBdr>
    </w:div>
    <w:div w:id="644552308">
      <w:bodyDiv w:val="1"/>
      <w:marLeft w:val="0"/>
      <w:marRight w:val="0"/>
      <w:marTop w:val="0"/>
      <w:marBottom w:val="0"/>
      <w:divBdr>
        <w:top w:val="none" w:sz="0" w:space="0" w:color="auto"/>
        <w:left w:val="none" w:sz="0" w:space="0" w:color="auto"/>
        <w:bottom w:val="none" w:sz="0" w:space="0" w:color="auto"/>
        <w:right w:val="none" w:sz="0" w:space="0" w:color="auto"/>
      </w:divBdr>
    </w:div>
    <w:div w:id="652414165">
      <w:bodyDiv w:val="1"/>
      <w:marLeft w:val="0"/>
      <w:marRight w:val="0"/>
      <w:marTop w:val="0"/>
      <w:marBottom w:val="0"/>
      <w:divBdr>
        <w:top w:val="none" w:sz="0" w:space="0" w:color="auto"/>
        <w:left w:val="none" w:sz="0" w:space="0" w:color="auto"/>
        <w:bottom w:val="none" w:sz="0" w:space="0" w:color="auto"/>
        <w:right w:val="none" w:sz="0" w:space="0" w:color="auto"/>
      </w:divBdr>
    </w:div>
    <w:div w:id="738482838">
      <w:bodyDiv w:val="1"/>
      <w:marLeft w:val="0"/>
      <w:marRight w:val="0"/>
      <w:marTop w:val="0"/>
      <w:marBottom w:val="0"/>
      <w:divBdr>
        <w:top w:val="none" w:sz="0" w:space="0" w:color="auto"/>
        <w:left w:val="none" w:sz="0" w:space="0" w:color="auto"/>
        <w:bottom w:val="none" w:sz="0" w:space="0" w:color="auto"/>
        <w:right w:val="none" w:sz="0" w:space="0" w:color="auto"/>
      </w:divBdr>
    </w:div>
    <w:div w:id="801535947">
      <w:bodyDiv w:val="1"/>
      <w:marLeft w:val="0"/>
      <w:marRight w:val="0"/>
      <w:marTop w:val="0"/>
      <w:marBottom w:val="0"/>
      <w:divBdr>
        <w:top w:val="none" w:sz="0" w:space="0" w:color="auto"/>
        <w:left w:val="none" w:sz="0" w:space="0" w:color="auto"/>
        <w:bottom w:val="none" w:sz="0" w:space="0" w:color="auto"/>
        <w:right w:val="none" w:sz="0" w:space="0" w:color="auto"/>
      </w:divBdr>
    </w:div>
    <w:div w:id="894972702">
      <w:bodyDiv w:val="1"/>
      <w:marLeft w:val="0"/>
      <w:marRight w:val="0"/>
      <w:marTop w:val="0"/>
      <w:marBottom w:val="0"/>
      <w:divBdr>
        <w:top w:val="none" w:sz="0" w:space="0" w:color="auto"/>
        <w:left w:val="none" w:sz="0" w:space="0" w:color="auto"/>
        <w:bottom w:val="none" w:sz="0" w:space="0" w:color="auto"/>
        <w:right w:val="none" w:sz="0" w:space="0" w:color="auto"/>
      </w:divBdr>
    </w:div>
    <w:div w:id="915407065">
      <w:bodyDiv w:val="1"/>
      <w:marLeft w:val="0"/>
      <w:marRight w:val="0"/>
      <w:marTop w:val="0"/>
      <w:marBottom w:val="0"/>
      <w:divBdr>
        <w:top w:val="none" w:sz="0" w:space="0" w:color="auto"/>
        <w:left w:val="none" w:sz="0" w:space="0" w:color="auto"/>
        <w:bottom w:val="none" w:sz="0" w:space="0" w:color="auto"/>
        <w:right w:val="none" w:sz="0" w:space="0" w:color="auto"/>
      </w:divBdr>
      <w:divsChild>
        <w:div w:id="34013425">
          <w:marLeft w:val="0"/>
          <w:marRight w:val="0"/>
          <w:marTop w:val="0"/>
          <w:marBottom w:val="0"/>
          <w:divBdr>
            <w:top w:val="none" w:sz="0" w:space="0" w:color="auto"/>
            <w:left w:val="none" w:sz="0" w:space="0" w:color="auto"/>
            <w:bottom w:val="none" w:sz="0" w:space="0" w:color="auto"/>
            <w:right w:val="none" w:sz="0" w:space="0" w:color="auto"/>
          </w:divBdr>
          <w:divsChild>
            <w:div w:id="4911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88609">
      <w:bodyDiv w:val="1"/>
      <w:marLeft w:val="0"/>
      <w:marRight w:val="0"/>
      <w:marTop w:val="0"/>
      <w:marBottom w:val="0"/>
      <w:divBdr>
        <w:top w:val="none" w:sz="0" w:space="0" w:color="auto"/>
        <w:left w:val="none" w:sz="0" w:space="0" w:color="auto"/>
        <w:bottom w:val="none" w:sz="0" w:space="0" w:color="auto"/>
        <w:right w:val="none" w:sz="0" w:space="0" w:color="auto"/>
      </w:divBdr>
    </w:div>
    <w:div w:id="1164474929">
      <w:bodyDiv w:val="1"/>
      <w:marLeft w:val="0"/>
      <w:marRight w:val="0"/>
      <w:marTop w:val="0"/>
      <w:marBottom w:val="0"/>
      <w:divBdr>
        <w:top w:val="none" w:sz="0" w:space="0" w:color="auto"/>
        <w:left w:val="none" w:sz="0" w:space="0" w:color="auto"/>
        <w:bottom w:val="none" w:sz="0" w:space="0" w:color="auto"/>
        <w:right w:val="none" w:sz="0" w:space="0" w:color="auto"/>
      </w:divBdr>
      <w:divsChild>
        <w:div w:id="1046414808">
          <w:marLeft w:val="0"/>
          <w:marRight w:val="0"/>
          <w:marTop w:val="0"/>
          <w:marBottom w:val="0"/>
          <w:divBdr>
            <w:top w:val="none" w:sz="0" w:space="0" w:color="auto"/>
            <w:left w:val="none" w:sz="0" w:space="0" w:color="auto"/>
            <w:bottom w:val="none" w:sz="0" w:space="0" w:color="auto"/>
            <w:right w:val="none" w:sz="0" w:space="0" w:color="auto"/>
          </w:divBdr>
        </w:div>
      </w:divsChild>
    </w:div>
    <w:div w:id="1196847136">
      <w:bodyDiv w:val="1"/>
      <w:marLeft w:val="0"/>
      <w:marRight w:val="0"/>
      <w:marTop w:val="0"/>
      <w:marBottom w:val="0"/>
      <w:divBdr>
        <w:top w:val="none" w:sz="0" w:space="0" w:color="auto"/>
        <w:left w:val="none" w:sz="0" w:space="0" w:color="auto"/>
        <w:bottom w:val="none" w:sz="0" w:space="0" w:color="auto"/>
        <w:right w:val="none" w:sz="0" w:space="0" w:color="auto"/>
      </w:divBdr>
    </w:div>
    <w:div w:id="12814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Digest/2020-21/FinishStrong.pdf"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C257.7A852DE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sight.ct.gov/relatedreports/Supporting%20Student%20Participation%20in%2020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cp:lastPrinted>2020-11-24T16:58:00Z</cp:lastPrinted>
  <dcterms:created xsi:type="dcterms:W3CDTF">2021-04-08T21:25:00Z</dcterms:created>
  <dcterms:modified xsi:type="dcterms:W3CDTF">2021-04-08T21:25:00Z</dcterms:modified>
</cp:coreProperties>
</file>