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F0" w:rsidRDefault="00BB17F0" w:rsidP="00BB17F0">
      <w:pPr>
        <w:spacing w:after="240"/>
        <w:rPr>
          <w:rFonts w:ascii="Times New Roman" w:hAnsi="Times New Roman"/>
          <w:b/>
          <w:bCs/>
          <w:sz w:val="24"/>
          <w:szCs w:val="24"/>
        </w:rPr>
      </w:pPr>
      <w:r>
        <w:rPr>
          <w:rFonts w:ascii="Times New Roman" w:hAnsi="Times New Roman"/>
          <w:b/>
          <w:bCs/>
          <w:sz w:val="24"/>
          <w:szCs w:val="24"/>
        </w:rPr>
        <w:t xml:space="preserve">VR Services Portion of the Unified or Combined State Plans </w:t>
      </w:r>
    </w:p>
    <w:p w:rsidR="00BB17F0" w:rsidRDefault="00BB17F0" w:rsidP="00BB17F0">
      <w:pPr>
        <w:spacing w:after="240"/>
        <w:rPr>
          <w:rFonts w:ascii="Times New Roman" w:hAnsi="Times New Roman"/>
          <w:sz w:val="24"/>
          <w:szCs w:val="24"/>
        </w:rPr>
      </w:pPr>
      <w:r>
        <w:rPr>
          <w:rFonts w:ascii="Times New Roman" w:hAnsi="Times New Roman"/>
          <w:sz w:val="24"/>
          <w:szCs w:val="24"/>
        </w:rPr>
        <w:t>Consistent with Section 101(a</w:t>
      </w:r>
      <w:proofErr w:type="gramStart"/>
      <w:r>
        <w:rPr>
          <w:rFonts w:ascii="Times New Roman" w:hAnsi="Times New Roman"/>
          <w:sz w:val="24"/>
          <w:szCs w:val="24"/>
        </w:rPr>
        <w:t>)(</w:t>
      </w:r>
      <w:proofErr w:type="gramEnd"/>
      <w:r>
        <w:rPr>
          <w:rFonts w:ascii="Times New Roman" w:hAnsi="Times New Roman"/>
          <w:sz w:val="24"/>
          <w:szCs w:val="24"/>
        </w:rPr>
        <w:t xml:space="preserve">1)(B) of the Rehabilitation Act of 1973 (Rehabilitation Act), as amended by title IV of WIOA, States are not required to submit any policies, procedures, or descriptions related to the VR services portion of the Unified or Combined State Plans that have been previously approved and demonstrate that the States currently meet the requirements of title I of the Rehabilitation Act. States need only modify the VR services portion of the Unified or Combined State Plan for PYs 2018 and 2019 as described below. </w:t>
      </w:r>
    </w:p>
    <w:p w:rsidR="00BB17F0" w:rsidRDefault="00BB17F0" w:rsidP="00BB17F0">
      <w:pPr>
        <w:spacing w:after="240"/>
        <w:rPr>
          <w:rFonts w:ascii="Times New Roman" w:hAnsi="Times New Roman"/>
          <w:sz w:val="24"/>
          <w:szCs w:val="24"/>
        </w:rPr>
      </w:pPr>
      <w:r>
        <w:rPr>
          <w:rFonts w:ascii="Times New Roman" w:hAnsi="Times New Roman"/>
          <w:b/>
          <w:bCs/>
          <w:sz w:val="24"/>
          <w:szCs w:val="24"/>
        </w:rPr>
        <w:t xml:space="preserve">Statutorily-Required Updates: </w:t>
      </w:r>
      <w:r>
        <w:rPr>
          <w:rFonts w:ascii="Times New Roman" w:hAnsi="Times New Roman"/>
          <w:sz w:val="24"/>
          <w:szCs w:val="24"/>
        </w:rPr>
        <w:t>Section 101(a)(23) of the Rehabilitation Act</w:t>
      </w:r>
      <w:r>
        <w:rPr>
          <w:rFonts w:ascii="Times New Roman" w:hAnsi="Times New Roman"/>
          <w:i/>
          <w:iCs/>
          <w:sz w:val="24"/>
          <w:szCs w:val="24"/>
        </w:rPr>
        <w:t xml:space="preserve"> </w:t>
      </w:r>
      <w:r>
        <w:rPr>
          <w:rFonts w:ascii="Times New Roman" w:hAnsi="Times New Roman"/>
          <w:sz w:val="24"/>
          <w:szCs w:val="24"/>
        </w:rPr>
        <w:t xml:space="preserve">requires States to assure, in the VR services portion of the Unified or Combined State Plans, that they will submit certain annual updates to those Plans at the time and manner determined by the Commissioner of the Rehabilitation Services Administration to be appropriate.  Because section 101(a)(1)(A) of the Rehabilitation Act requires the VR services portion of the Unified or Combined State Plans to be submitted as part of those Plans, which are submitted for approval every four years and updated every two years, the Commissioner has determined it is appropriate for States to submit the updates required by section 101(a)(23) of the Rehabilitation Act, as well as any other statutorily-required updates, as part of the two-year modifications required by section 102 of WIOA.  </w:t>
      </w:r>
    </w:p>
    <w:p w:rsidR="00BB17F0" w:rsidRDefault="00BB17F0" w:rsidP="00BB17F0">
      <w:pPr>
        <w:spacing w:after="240"/>
        <w:rPr>
          <w:rFonts w:ascii="Times New Roman" w:hAnsi="Times New Roman"/>
          <w:sz w:val="24"/>
          <w:szCs w:val="24"/>
        </w:rPr>
      </w:pPr>
      <w:r>
        <w:rPr>
          <w:rFonts w:ascii="Times New Roman" w:hAnsi="Times New Roman"/>
          <w:sz w:val="24"/>
          <w:szCs w:val="24"/>
        </w:rPr>
        <w:t xml:space="preserve">States must include these updates with each submission (every four years) and modification (every two years) of the Unified or Combined State Plan. States also must maintain these updates on an annual basis. Finally, States must report all required updates on a Program Year basis unless otherwise indicated below. </w:t>
      </w:r>
    </w:p>
    <w:p w:rsidR="00BB17F0" w:rsidRDefault="00BB17F0" w:rsidP="00BB17F0">
      <w:pPr>
        <w:spacing w:after="240"/>
        <w:rPr>
          <w:rFonts w:ascii="Times New Roman" w:hAnsi="Times New Roman"/>
          <w:sz w:val="24"/>
          <w:szCs w:val="24"/>
        </w:rPr>
      </w:pPr>
      <w:r>
        <w:rPr>
          <w:rFonts w:ascii="Times New Roman" w:hAnsi="Times New Roman"/>
          <w:sz w:val="24"/>
          <w:szCs w:val="24"/>
        </w:rPr>
        <w:t>The VR services portion of the Unified or Combined State Plan descriptions that require updates are as follows:</w:t>
      </w:r>
    </w:p>
    <w:p w:rsidR="00BB17F0" w:rsidRDefault="00BB17F0" w:rsidP="00BB17F0">
      <w:pPr>
        <w:numPr>
          <w:ilvl w:val="0"/>
          <w:numId w:val="1"/>
        </w:numPr>
        <w:spacing w:after="240"/>
        <w:ind w:left="720" w:hanging="360"/>
        <w:rPr>
          <w:rFonts w:ascii="Times New Roman" w:hAnsi="Times New Roman"/>
          <w:sz w:val="24"/>
          <w:szCs w:val="24"/>
        </w:rPr>
      </w:pPr>
      <w:r>
        <w:rPr>
          <w:rFonts w:ascii="Times New Roman" w:hAnsi="Times New Roman"/>
          <w:sz w:val="24"/>
          <w:szCs w:val="24"/>
        </w:rPr>
        <w:t>Description (a)—Input of the State Rehabilitation Council (SRC) (section 101(a)(21)(A)(ii)(III) of the Rehabilitation Act);</w:t>
      </w:r>
    </w:p>
    <w:p w:rsidR="00BB17F0" w:rsidRDefault="00BB17F0" w:rsidP="00BB17F0">
      <w:pPr>
        <w:numPr>
          <w:ilvl w:val="0"/>
          <w:numId w:val="1"/>
        </w:numPr>
        <w:spacing w:after="240"/>
        <w:ind w:left="720" w:hanging="360"/>
        <w:rPr>
          <w:rFonts w:ascii="Times New Roman" w:hAnsi="Times New Roman"/>
          <w:sz w:val="24"/>
          <w:szCs w:val="24"/>
        </w:rPr>
      </w:pPr>
      <w:r>
        <w:rPr>
          <w:rFonts w:ascii="Times New Roman" w:hAnsi="Times New Roman"/>
          <w:sz w:val="24"/>
          <w:szCs w:val="24"/>
        </w:rPr>
        <w:t>Description (</w:t>
      </w:r>
      <w:proofErr w:type="spellStart"/>
      <w:r>
        <w:rPr>
          <w:rFonts w:ascii="Times New Roman" w:hAnsi="Times New Roman"/>
          <w:sz w:val="24"/>
          <w:szCs w:val="24"/>
        </w:rPr>
        <w:t>i</w:t>
      </w:r>
      <w:proofErr w:type="spellEnd"/>
      <w:r>
        <w:rPr>
          <w:rFonts w:ascii="Times New Roman" w:hAnsi="Times New Roman"/>
          <w:sz w:val="24"/>
          <w:szCs w:val="24"/>
        </w:rPr>
        <w:t xml:space="preserve">)—Comprehensive System of Personnel Development; Data System on Personnel and Personnel Development (sections 101(a)(7)A() and 101(a)(23) of the Rehabilitation Act); </w:t>
      </w:r>
    </w:p>
    <w:p w:rsidR="00BB17F0" w:rsidRDefault="00BB17F0" w:rsidP="00BB17F0">
      <w:pPr>
        <w:numPr>
          <w:ilvl w:val="0"/>
          <w:numId w:val="1"/>
        </w:numPr>
        <w:spacing w:after="240"/>
        <w:ind w:left="720" w:hanging="360"/>
        <w:rPr>
          <w:rFonts w:ascii="Times New Roman" w:hAnsi="Times New Roman"/>
          <w:sz w:val="24"/>
          <w:szCs w:val="24"/>
        </w:rPr>
      </w:pPr>
      <w:r>
        <w:rPr>
          <w:rFonts w:ascii="Times New Roman" w:hAnsi="Times New Roman"/>
          <w:sz w:val="24"/>
          <w:szCs w:val="24"/>
        </w:rPr>
        <w:t>Description (k)—Annual Estimates (at minimum, must include projections for Federal Fiscal Year (FFY) 2019) (sections 101(a)(15) and 101(a)(23) of the Rehabilitation Act);</w:t>
      </w:r>
    </w:p>
    <w:p w:rsidR="00BB17F0" w:rsidRDefault="00BB17F0" w:rsidP="00BB17F0">
      <w:pPr>
        <w:numPr>
          <w:ilvl w:val="0"/>
          <w:numId w:val="1"/>
        </w:numPr>
        <w:spacing w:after="240"/>
        <w:ind w:left="720" w:hanging="360"/>
        <w:rPr>
          <w:rFonts w:ascii="Times New Roman" w:hAnsi="Times New Roman"/>
          <w:sz w:val="24"/>
          <w:szCs w:val="24"/>
        </w:rPr>
      </w:pPr>
      <w:r>
        <w:rPr>
          <w:rFonts w:ascii="Times New Roman" w:hAnsi="Times New Roman"/>
          <w:sz w:val="24"/>
          <w:szCs w:val="24"/>
        </w:rPr>
        <w:t xml:space="preserve">Description (m)—Order of Selection, if circumstances have changed within the State (section 101(a)(5)(A) and (B) of the Rehabilitation Act); </w:t>
      </w:r>
    </w:p>
    <w:p w:rsidR="00BB17F0" w:rsidRDefault="00BB17F0" w:rsidP="00BB17F0">
      <w:pPr>
        <w:numPr>
          <w:ilvl w:val="0"/>
          <w:numId w:val="1"/>
        </w:numPr>
        <w:spacing w:after="240"/>
        <w:ind w:left="720" w:hanging="360"/>
        <w:rPr>
          <w:rFonts w:ascii="Times New Roman" w:hAnsi="Times New Roman"/>
          <w:sz w:val="24"/>
          <w:szCs w:val="24"/>
        </w:rPr>
      </w:pPr>
      <w:r>
        <w:rPr>
          <w:rFonts w:ascii="Times New Roman" w:hAnsi="Times New Roman"/>
          <w:sz w:val="24"/>
          <w:szCs w:val="24"/>
        </w:rPr>
        <w:t>Description (o)—States’ Strategies with respect to Innovation and Expansion activities (sections 101(a)(18) and 101(a)(23) of the Rehabilitation Act)</w:t>
      </w:r>
      <w:r>
        <w:rPr>
          <w:rFonts w:ascii="Times New Roman" w:hAnsi="Times New Roman"/>
          <w:spacing w:val="-1"/>
          <w:sz w:val="24"/>
          <w:szCs w:val="24"/>
        </w:rPr>
        <w:t>; and</w:t>
      </w:r>
      <w:r>
        <w:rPr>
          <w:rFonts w:ascii="Times New Roman" w:hAnsi="Times New Roman"/>
          <w:spacing w:val="2"/>
          <w:sz w:val="24"/>
          <w:szCs w:val="24"/>
        </w:rPr>
        <w:t xml:space="preserve"> </w:t>
      </w:r>
      <w:r>
        <w:rPr>
          <w:rFonts w:ascii="Times New Roman" w:hAnsi="Times New Roman"/>
          <w:sz w:val="24"/>
          <w:szCs w:val="24"/>
        </w:rPr>
        <w:t> </w:t>
      </w:r>
    </w:p>
    <w:p w:rsidR="00BB17F0" w:rsidRDefault="00BB17F0" w:rsidP="00BB17F0">
      <w:pPr>
        <w:numPr>
          <w:ilvl w:val="0"/>
          <w:numId w:val="1"/>
        </w:numPr>
        <w:spacing w:after="240"/>
        <w:ind w:left="720" w:hanging="360"/>
        <w:rPr>
          <w:rFonts w:ascii="Times New Roman" w:hAnsi="Times New Roman"/>
          <w:sz w:val="24"/>
          <w:szCs w:val="24"/>
        </w:rPr>
      </w:pPr>
      <w:r>
        <w:rPr>
          <w:rFonts w:ascii="Times New Roman" w:hAnsi="Times New Roman"/>
          <w:sz w:val="24"/>
          <w:szCs w:val="24"/>
        </w:rPr>
        <w:t>Description (p)—Evaluation and Reports of Progress: VR Goals (sections 101(a</w:t>
      </w:r>
      <w:proofErr w:type="gramStart"/>
      <w:r>
        <w:rPr>
          <w:rFonts w:ascii="Times New Roman" w:hAnsi="Times New Roman"/>
          <w:sz w:val="24"/>
          <w:szCs w:val="24"/>
        </w:rPr>
        <w:t>)(</w:t>
      </w:r>
      <w:proofErr w:type="gramEnd"/>
      <w:r>
        <w:rPr>
          <w:rFonts w:ascii="Times New Roman" w:hAnsi="Times New Roman"/>
          <w:sz w:val="24"/>
          <w:szCs w:val="24"/>
        </w:rPr>
        <w:t>15) and 101(a)(23) of the Rehabilitation Act); including a description of innovation and expansion activities conducted (sections 101(a)(18) and 101(a)(23) of the Rehabilitation Act).</w:t>
      </w:r>
    </w:p>
    <w:p w:rsidR="002A548F" w:rsidRDefault="002A548F">
      <w:bookmarkStart w:id="0" w:name="_GoBack"/>
      <w:bookmarkEnd w:id="0"/>
    </w:p>
    <w:sectPr w:rsidR="002A5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1C3"/>
    <w:multiLevelType w:val="hybridMultilevel"/>
    <w:tmpl w:val="459E17AE"/>
    <w:lvl w:ilvl="0" w:tplc="402E7588">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F0"/>
    <w:rsid w:val="002A548F"/>
    <w:rsid w:val="00BB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8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KLF</dc:creator>
  <cp:lastModifiedBy>KLF</cp:lastModifiedBy>
  <cp:revision>1</cp:revision>
  <dcterms:created xsi:type="dcterms:W3CDTF">2018-01-26T15:39:00Z</dcterms:created>
  <dcterms:modified xsi:type="dcterms:W3CDTF">2018-01-26T15:40:00Z</dcterms:modified>
</cp:coreProperties>
</file>