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A00" w:rsidRDefault="000A3A00" w:rsidP="001B731E">
      <w:pPr>
        <w:spacing w:after="0" w:line="240" w:lineRule="auto"/>
      </w:pPr>
    </w:p>
    <w:p w:rsidR="008C4C47" w:rsidRPr="00DA09A5" w:rsidRDefault="00DA09A5" w:rsidP="00DA09A5">
      <w:pPr>
        <w:spacing w:after="0" w:line="240" w:lineRule="auto"/>
        <w:jc w:val="center"/>
        <w:rPr>
          <w:rFonts w:asciiTheme="majorHAnsi" w:hAnsiTheme="majorHAnsi" w:cstheme="majorHAnsi"/>
          <w:b/>
          <w:color w:val="2E74B5"/>
          <w:sz w:val="40"/>
          <w:szCs w:val="40"/>
          <w:u w:val="single"/>
        </w:rPr>
      </w:pPr>
      <w:r w:rsidRPr="00DA09A5">
        <w:rPr>
          <w:rFonts w:asciiTheme="majorHAnsi" w:hAnsiTheme="majorHAnsi" w:cstheme="majorHAnsi"/>
          <w:b/>
          <w:color w:val="2E74B5"/>
          <w:sz w:val="40"/>
          <w:szCs w:val="40"/>
          <w:u w:val="single"/>
        </w:rPr>
        <w:t>Guide for Electric Suppliers</w:t>
      </w:r>
    </w:p>
    <w:p w:rsidR="0049614E" w:rsidRDefault="0049614E" w:rsidP="001B731E">
      <w:pPr>
        <w:spacing w:after="0" w:line="240" w:lineRule="auto"/>
      </w:pPr>
    </w:p>
    <w:sdt>
      <w:sdtPr>
        <w:rPr>
          <w:rFonts w:asciiTheme="minorHAnsi" w:eastAsiaTheme="minorHAnsi" w:hAnsiTheme="minorHAnsi" w:cstheme="minorBidi"/>
          <w:color w:val="auto"/>
          <w:sz w:val="22"/>
          <w:szCs w:val="22"/>
        </w:rPr>
        <w:id w:val="-428652546"/>
        <w:docPartObj>
          <w:docPartGallery w:val="Table of Contents"/>
          <w:docPartUnique/>
        </w:docPartObj>
      </w:sdtPr>
      <w:sdtEndPr>
        <w:rPr>
          <w:b/>
          <w:bCs/>
          <w:noProof/>
        </w:rPr>
      </w:sdtEndPr>
      <w:sdtContent>
        <w:p w:rsidR="00311DB8" w:rsidRDefault="00311DB8">
          <w:pPr>
            <w:pStyle w:val="TOCHeading"/>
          </w:pPr>
          <w:r>
            <w:t>Contents</w:t>
          </w:r>
        </w:p>
        <w:p w:rsidR="00C677A1" w:rsidRDefault="00311DB8">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63413918" w:history="1">
            <w:r w:rsidR="00C677A1" w:rsidRPr="00F84B12">
              <w:rPr>
                <w:rStyle w:val="Hyperlink"/>
                <w:b/>
                <w:noProof/>
              </w:rPr>
              <w:t>Docket Control Filing Procedures</w:t>
            </w:r>
            <w:r w:rsidR="00C677A1">
              <w:rPr>
                <w:noProof/>
                <w:webHidden/>
              </w:rPr>
              <w:tab/>
            </w:r>
            <w:r w:rsidR="00C677A1">
              <w:rPr>
                <w:noProof/>
                <w:webHidden/>
              </w:rPr>
              <w:fldChar w:fldCharType="begin"/>
            </w:r>
            <w:r w:rsidR="00C677A1">
              <w:rPr>
                <w:noProof/>
                <w:webHidden/>
              </w:rPr>
              <w:instrText xml:space="preserve"> PAGEREF _Toc63413918 \h </w:instrText>
            </w:r>
            <w:r w:rsidR="00C677A1">
              <w:rPr>
                <w:noProof/>
                <w:webHidden/>
              </w:rPr>
            </w:r>
            <w:r w:rsidR="00C677A1">
              <w:rPr>
                <w:noProof/>
                <w:webHidden/>
              </w:rPr>
              <w:fldChar w:fldCharType="separate"/>
            </w:r>
            <w:r w:rsidR="00C677A1">
              <w:rPr>
                <w:noProof/>
                <w:webHidden/>
              </w:rPr>
              <w:t>2</w:t>
            </w:r>
            <w:r w:rsidR="00C677A1">
              <w:rPr>
                <w:noProof/>
                <w:webHidden/>
              </w:rPr>
              <w:fldChar w:fldCharType="end"/>
            </w:r>
          </w:hyperlink>
        </w:p>
        <w:p w:rsidR="00C677A1" w:rsidRDefault="00C677A1">
          <w:pPr>
            <w:pStyle w:val="TOC1"/>
            <w:tabs>
              <w:tab w:val="right" w:leader="dot" w:pos="9350"/>
            </w:tabs>
            <w:rPr>
              <w:rFonts w:eastAsiaTheme="minorEastAsia"/>
              <w:noProof/>
            </w:rPr>
          </w:pPr>
          <w:hyperlink w:anchor="_Toc63413919" w:history="1">
            <w:r w:rsidRPr="00F84B12">
              <w:rPr>
                <w:rStyle w:val="Hyperlink"/>
                <w:b/>
                <w:noProof/>
              </w:rPr>
              <w:t>Statutes and Regulations</w:t>
            </w:r>
            <w:r>
              <w:rPr>
                <w:noProof/>
                <w:webHidden/>
              </w:rPr>
              <w:tab/>
            </w:r>
            <w:r>
              <w:rPr>
                <w:noProof/>
                <w:webHidden/>
              </w:rPr>
              <w:fldChar w:fldCharType="begin"/>
            </w:r>
            <w:r>
              <w:rPr>
                <w:noProof/>
                <w:webHidden/>
              </w:rPr>
              <w:instrText xml:space="preserve"> PAGEREF _Toc63413919 \h </w:instrText>
            </w:r>
            <w:r>
              <w:rPr>
                <w:noProof/>
                <w:webHidden/>
              </w:rPr>
            </w:r>
            <w:r>
              <w:rPr>
                <w:noProof/>
                <w:webHidden/>
              </w:rPr>
              <w:fldChar w:fldCharType="separate"/>
            </w:r>
            <w:r>
              <w:rPr>
                <w:noProof/>
                <w:webHidden/>
              </w:rPr>
              <w:t>2</w:t>
            </w:r>
            <w:r>
              <w:rPr>
                <w:noProof/>
                <w:webHidden/>
              </w:rPr>
              <w:fldChar w:fldCharType="end"/>
            </w:r>
          </w:hyperlink>
        </w:p>
        <w:p w:rsidR="00C677A1" w:rsidRDefault="00C677A1">
          <w:pPr>
            <w:pStyle w:val="TOC2"/>
            <w:tabs>
              <w:tab w:val="right" w:leader="dot" w:pos="9350"/>
            </w:tabs>
            <w:rPr>
              <w:rFonts w:eastAsiaTheme="minorEastAsia"/>
              <w:noProof/>
            </w:rPr>
          </w:pPr>
          <w:hyperlink w:anchor="_Toc63413920" w:history="1">
            <w:r w:rsidRPr="00F84B12">
              <w:rPr>
                <w:rStyle w:val="Hyperlink"/>
                <w:noProof/>
              </w:rPr>
              <w:t>Conn. Gen. Stat. § 16-245d</w:t>
            </w:r>
            <w:r>
              <w:rPr>
                <w:noProof/>
                <w:webHidden/>
              </w:rPr>
              <w:tab/>
            </w:r>
            <w:r>
              <w:rPr>
                <w:noProof/>
                <w:webHidden/>
              </w:rPr>
              <w:fldChar w:fldCharType="begin"/>
            </w:r>
            <w:r>
              <w:rPr>
                <w:noProof/>
                <w:webHidden/>
              </w:rPr>
              <w:instrText xml:space="preserve"> PAGEREF _Toc63413920 \h </w:instrText>
            </w:r>
            <w:r>
              <w:rPr>
                <w:noProof/>
                <w:webHidden/>
              </w:rPr>
            </w:r>
            <w:r>
              <w:rPr>
                <w:noProof/>
                <w:webHidden/>
              </w:rPr>
              <w:fldChar w:fldCharType="separate"/>
            </w:r>
            <w:r>
              <w:rPr>
                <w:noProof/>
                <w:webHidden/>
              </w:rPr>
              <w:t>2</w:t>
            </w:r>
            <w:r>
              <w:rPr>
                <w:noProof/>
                <w:webHidden/>
              </w:rPr>
              <w:fldChar w:fldCharType="end"/>
            </w:r>
          </w:hyperlink>
        </w:p>
        <w:p w:rsidR="00C677A1" w:rsidRDefault="00C677A1">
          <w:pPr>
            <w:pStyle w:val="TOC2"/>
            <w:tabs>
              <w:tab w:val="right" w:leader="dot" w:pos="9350"/>
            </w:tabs>
            <w:rPr>
              <w:rFonts w:eastAsiaTheme="minorEastAsia"/>
              <w:noProof/>
            </w:rPr>
          </w:pPr>
          <w:hyperlink w:anchor="_Toc63413921" w:history="1">
            <w:r w:rsidRPr="00F84B12">
              <w:rPr>
                <w:rStyle w:val="Hyperlink"/>
                <w:noProof/>
              </w:rPr>
              <w:t>Conn. Gen. Stat. § 16-245o</w:t>
            </w:r>
            <w:r>
              <w:rPr>
                <w:noProof/>
                <w:webHidden/>
              </w:rPr>
              <w:tab/>
            </w:r>
            <w:r>
              <w:rPr>
                <w:noProof/>
                <w:webHidden/>
              </w:rPr>
              <w:fldChar w:fldCharType="begin"/>
            </w:r>
            <w:r>
              <w:rPr>
                <w:noProof/>
                <w:webHidden/>
              </w:rPr>
              <w:instrText xml:space="preserve"> PAGEREF _Toc63413921 \h </w:instrText>
            </w:r>
            <w:r>
              <w:rPr>
                <w:noProof/>
                <w:webHidden/>
              </w:rPr>
            </w:r>
            <w:r>
              <w:rPr>
                <w:noProof/>
                <w:webHidden/>
              </w:rPr>
              <w:fldChar w:fldCharType="separate"/>
            </w:r>
            <w:r>
              <w:rPr>
                <w:noProof/>
                <w:webHidden/>
              </w:rPr>
              <w:t>2</w:t>
            </w:r>
            <w:r>
              <w:rPr>
                <w:noProof/>
                <w:webHidden/>
              </w:rPr>
              <w:fldChar w:fldCharType="end"/>
            </w:r>
          </w:hyperlink>
        </w:p>
        <w:p w:rsidR="00C677A1" w:rsidRDefault="00C677A1">
          <w:pPr>
            <w:pStyle w:val="TOC2"/>
            <w:tabs>
              <w:tab w:val="right" w:leader="dot" w:pos="9350"/>
            </w:tabs>
            <w:rPr>
              <w:rFonts w:eastAsiaTheme="minorEastAsia"/>
              <w:noProof/>
            </w:rPr>
          </w:pPr>
          <w:hyperlink w:anchor="_Toc63413922" w:history="1">
            <w:r w:rsidRPr="00F84B12">
              <w:rPr>
                <w:rStyle w:val="Hyperlink"/>
                <w:noProof/>
              </w:rPr>
              <w:t>Conn. Gen. Stat. § 16-245</w:t>
            </w:r>
            <w:r>
              <w:rPr>
                <w:noProof/>
                <w:webHidden/>
              </w:rPr>
              <w:tab/>
            </w:r>
            <w:r>
              <w:rPr>
                <w:noProof/>
                <w:webHidden/>
              </w:rPr>
              <w:fldChar w:fldCharType="begin"/>
            </w:r>
            <w:r>
              <w:rPr>
                <w:noProof/>
                <w:webHidden/>
              </w:rPr>
              <w:instrText xml:space="preserve"> PAGEREF _Toc63413922 \h </w:instrText>
            </w:r>
            <w:r>
              <w:rPr>
                <w:noProof/>
                <w:webHidden/>
              </w:rPr>
            </w:r>
            <w:r>
              <w:rPr>
                <w:noProof/>
                <w:webHidden/>
              </w:rPr>
              <w:fldChar w:fldCharType="separate"/>
            </w:r>
            <w:r>
              <w:rPr>
                <w:noProof/>
                <w:webHidden/>
              </w:rPr>
              <w:t>2</w:t>
            </w:r>
            <w:r>
              <w:rPr>
                <w:noProof/>
                <w:webHidden/>
              </w:rPr>
              <w:fldChar w:fldCharType="end"/>
            </w:r>
          </w:hyperlink>
        </w:p>
        <w:p w:rsidR="00C677A1" w:rsidRDefault="00C677A1">
          <w:pPr>
            <w:pStyle w:val="TOC2"/>
            <w:tabs>
              <w:tab w:val="right" w:leader="dot" w:pos="9350"/>
            </w:tabs>
            <w:rPr>
              <w:rFonts w:eastAsiaTheme="minorEastAsia"/>
              <w:noProof/>
            </w:rPr>
          </w:pPr>
          <w:hyperlink w:anchor="_Toc63413923" w:history="1">
            <w:r w:rsidRPr="00F84B12">
              <w:rPr>
                <w:rStyle w:val="Hyperlink"/>
                <w:noProof/>
              </w:rPr>
              <w:t>Conn. Gen. Stat. § 16-245s</w:t>
            </w:r>
            <w:r>
              <w:rPr>
                <w:noProof/>
                <w:webHidden/>
              </w:rPr>
              <w:tab/>
            </w:r>
            <w:r>
              <w:rPr>
                <w:noProof/>
                <w:webHidden/>
              </w:rPr>
              <w:fldChar w:fldCharType="begin"/>
            </w:r>
            <w:r>
              <w:rPr>
                <w:noProof/>
                <w:webHidden/>
              </w:rPr>
              <w:instrText xml:space="preserve"> PAGEREF _Toc63413923 \h </w:instrText>
            </w:r>
            <w:r>
              <w:rPr>
                <w:noProof/>
                <w:webHidden/>
              </w:rPr>
            </w:r>
            <w:r>
              <w:rPr>
                <w:noProof/>
                <w:webHidden/>
              </w:rPr>
              <w:fldChar w:fldCharType="separate"/>
            </w:r>
            <w:r>
              <w:rPr>
                <w:noProof/>
                <w:webHidden/>
              </w:rPr>
              <w:t>3</w:t>
            </w:r>
            <w:r>
              <w:rPr>
                <w:noProof/>
                <w:webHidden/>
              </w:rPr>
              <w:fldChar w:fldCharType="end"/>
            </w:r>
          </w:hyperlink>
        </w:p>
        <w:p w:rsidR="00C677A1" w:rsidRDefault="00C677A1">
          <w:pPr>
            <w:pStyle w:val="TOC1"/>
            <w:tabs>
              <w:tab w:val="right" w:leader="dot" w:pos="9350"/>
            </w:tabs>
            <w:rPr>
              <w:rFonts w:eastAsiaTheme="minorEastAsia"/>
              <w:noProof/>
            </w:rPr>
          </w:pPr>
          <w:hyperlink w:anchor="_Toc63413924" w:history="1">
            <w:r w:rsidRPr="00F84B12">
              <w:rPr>
                <w:rStyle w:val="Hyperlink"/>
                <w:b/>
                <w:noProof/>
              </w:rPr>
              <w:t>Ex Parte Communications</w:t>
            </w:r>
            <w:r>
              <w:rPr>
                <w:noProof/>
                <w:webHidden/>
              </w:rPr>
              <w:tab/>
            </w:r>
            <w:r>
              <w:rPr>
                <w:noProof/>
                <w:webHidden/>
              </w:rPr>
              <w:fldChar w:fldCharType="begin"/>
            </w:r>
            <w:r>
              <w:rPr>
                <w:noProof/>
                <w:webHidden/>
              </w:rPr>
              <w:instrText xml:space="preserve"> PAGEREF _Toc63413924 \h </w:instrText>
            </w:r>
            <w:r>
              <w:rPr>
                <w:noProof/>
                <w:webHidden/>
              </w:rPr>
            </w:r>
            <w:r>
              <w:rPr>
                <w:noProof/>
                <w:webHidden/>
              </w:rPr>
              <w:fldChar w:fldCharType="separate"/>
            </w:r>
            <w:r>
              <w:rPr>
                <w:noProof/>
                <w:webHidden/>
              </w:rPr>
              <w:t>3</w:t>
            </w:r>
            <w:r>
              <w:rPr>
                <w:noProof/>
                <w:webHidden/>
              </w:rPr>
              <w:fldChar w:fldCharType="end"/>
            </w:r>
          </w:hyperlink>
        </w:p>
        <w:p w:rsidR="00C677A1" w:rsidRDefault="00C677A1">
          <w:pPr>
            <w:pStyle w:val="TOC1"/>
            <w:tabs>
              <w:tab w:val="right" w:leader="dot" w:pos="9350"/>
            </w:tabs>
            <w:rPr>
              <w:rFonts w:eastAsiaTheme="minorEastAsia"/>
              <w:noProof/>
            </w:rPr>
          </w:pPr>
          <w:hyperlink w:anchor="_Toc63413925" w:history="1">
            <w:r w:rsidRPr="00F84B12">
              <w:rPr>
                <w:rStyle w:val="Hyperlink"/>
                <w:b/>
                <w:noProof/>
              </w:rPr>
              <w:t>Education, Outreach &amp; Enforcement – EOE</w:t>
            </w:r>
            <w:r>
              <w:rPr>
                <w:noProof/>
                <w:webHidden/>
              </w:rPr>
              <w:tab/>
            </w:r>
            <w:r>
              <w:rPr>
                <w:noProof/>
                <w:webHidden/>
              </w:rPr>
              <w:fldChar w:fldCharType="begin"/>
            </w:r>
            <w:r>
              <w:rPr>
                <w:noProof/>
                <w:webHidden/>
              </w:rPr>
              <w:instrText xml:space="preserve"> PAGEREF _Toc63413925 \h </w:instrText>
            </w:r>
            <w:r>
              <w:rPr>
                <w:noProof/>
                <w:webHidden/>
              </w:rPr>
            </w:r>
            <w:r>
              <w:rPr>
                <w:noProof/>
                <w:webHidden/>
              </w:rPr>
              <w:fldChar w:fldCharType="separate"/>
            </w:r>
            <w:r>
              <w:rPr>
                <w:noProof/>
                <w:webHidden/>
              </w:rPr>
              <w:t>3</w:t>
            </w:r>
            <w:r>
              <w:rPr>
                <w:noProof/>
                <w:webHidden/>
              </w:rPr>
              <w:fldChar w:fldCharType="end"/>
            </w:r>
          </w:hyperlink>
        </w:p>
        <w:p w:rsidR="00C677A1" w:rsidRDefault="00C677A1">
          <w:pPr>
            <w:pStyle w:val="TOC2"/>
            <w:tabs>
              <w:tab w:val="right" w:leader="dot" w:pos="9350"/>
            </w:tabs>
            <w:rPr>
              <w:rFonts w:eastAsiaTheme="minorEastAsia"/>
              <w:noProof/>
            </w:rPr>
          </w:pPr>
          <w:hyperlink w:anchor="_Toc63413926" w:history="1">
            <w:r w:rsidRPr="00F84B12">
              <w:rPr>
                <w:rStyle w:val="Hyperlink"/>
                <w:rFonts w:eastAsia="Times New Roman"/>
                <w:noProof/>
              </w:rPr>
              <w:t>Licensing &amp; Certification Unit</w:t>
            </w:r>
            <w:r>
              <w:rPr>
                <w:noProof/>
                <w:webHidden/>
              </w:rPr>
              <w:tab/>
            </w:r>
            <w:r>
              <w:rPr>
                <w:noProof/>
                <w:webHidden/>
              </w:rPr>
              <w:fldChar w:fldCharType="begin"/>
            </w:r>
            <w:r>
              <w:rPr>
                <w:noProof/>
                <w:webHidden/>
              </w:rPr>
              <w:instrText xml:space="preserve"> PAGEREF _Toc63413926 \h </w:instrText>
            </w:r>
            <w:r>
              <w:rPr>
                <w:noProof/>
                <w:webHidden/>
              </w:rPr>
            </w:r>
            <w:r>
              <w:rPr>
                <w:noProof/>
                <w:webHidden/>
              </w:rPr>
              <w:fldChar w:fldCharType="separate"/>
            </w:r>
            <w:r>
              <w:rPr>
                <w:noProof/>
                <w:webHidden/>
              </w:rPr>
              <w:t>3</w:t>
            </w:r>
            <w:r>
              <w:rPr>
                <w:noProof/>
                <w:webHidden/>
              </w:rPr>
              <w:fldChar w:fldCharType="end"/>
            </w:r>
          </w:hyperlink>
        </w:p>
        <w:p w:rsidR="00C677A1" w:rsidRDefault="00C677A1">
          <w:pPr>
            <w:pStyle w:val="TOC2"/>
            <w:tabs>
              <w:tab w:val="right" w:leader="dot" w:pos="9350"/>
            </w:tabs>
            <w:rPr>
              <w:rFonts w:eastAsiaTheme="minorEastAsia"/>
              <w:noProof/>
            </w:rPr>
          </w:pPr>
          <w:hyperlink w:anchor="_Toc63413927" w:history="1">
            <w:r w:rsidRPr="00F84B12">
              <w:rPr>
                <w:rStyle w:val="Hyperlink"/>
                <w:rFonts w:eastAsia="Times New Roman"/>
                <w:noProof/>
              </w:rPr>
              <w:t>Mediation &amp; Enforcement Unit</w:t>
            </w:r>
            <w:r>
              <w:rPr>
                <w:noProof/>
                <w:webHidden/>
              </w:rPr>
              <w:tab/>
            </w:r>
            <w:r>
              <w:rPr>
                <w:noProof/>
                <w:webHidden/>
              </w:rPr>
              <w:fldChar w:fldCharType="begin"/>
            </w:r>
            <w:r>
              <w:rPr>
                <w:noProof/>
                <w:webHidden/>
              </w:rPr>
              <w:instrText xml:space="preserve"> PAGEREF _Toc63413927 \h </w:instrText>
            </w:r>
            <w:r>
              <w:rPr>
                <w:noProof/>
                <w:webHidden/>
              </w:rPr>
            </w:r>
            <w:r>
              <w:rPr>
                <w:noProof/>
                <w:webHidden/>
              </w:rPr>
              <w:fldChar w:fldCharType="separate"/>
            </w:r>
            <w:r>
              <w:rPr>
                <w:noProof/>
                <w:webHidden/>
              </w:rPr>
              <w:t>3</w:t>
            </w:r>
            <w:r>
              <w:rPr>
                <w:noProof/>
                <w:webHidden/>
              </w:rPr>
              <w:fldChar w:fldCharType="end"/>
            </w:r>
          </w:hyperlink>
        </w:p>
        <w:p w:rsidR="00C677A1" w:rsidRDefault="00C677A1">
          <w:pPr>
            <w:pStyle w:val="TOC2"/>
            <w:tabs>
              <w:tab w:val="right" w:leader="dot" w:pos="9350"/>
            </w:tabs>
            <w:rPr>
              <w:rFonts w:eastAsiaTheme="minorEastAsia"/>
              <w:noProof/>
            </w:rPr>
          </w:pPr>
          <w:hyperlink w:anchor="_Toc63413928" w:history="1">
            <w:r w:rsidRPr="00F84B12">
              <w:rPr>
                <w:rStyle w:val="Hyperlink"/>
                <w:rFonts w:eastAsia="Times New Roman" w:cstheme="majorHAnsi"/>
                <w:bCs/>
                <w:noProof/>
              </w:rPr>
              <w:t>Education, Outreach and Consumer Affairs</w:t>
            </w:r>
            <w:r>
              <w:rPr>
                <w:noProof/>
                <w:webHidden/>
              </w:rPr>
              <w:tab/>
            </w:r>
            <w:r>
              <w:rPr>
                <w:noProof/>
                <w:webHidden/>
              </w:rPr>
              <w:fldChar w:fldCharType="begin"/>
            </w:r>
            <w:r>
              <w:rPr>
                <w:noProof/>
                <w:webHidden/>
              </w:rPr>
              <w:instrText xml:space="preserve"> PAGEREF _Toc63413928 \h </w:instrText>
            </w:r>
            <w:r>
              <w:rPr>
                <w:noProof/>
                <w:webHidden/>
              </w:rPr>
            </w:r>
            <w:r>
              <w:rPr>
                <w:noProof/>
                <w:webHidden/>
              </w:rPr>
              <w:fldChar w:fldCharType="separate"/>
            </w:r>
            <w:r>
              <w:rPr>
                <w:noProof/>
                <w:webHidden/>
              </w:rPr>
              <w:t>3</w:t>
            </w:r>
            <w:r>
              <w:rPr>
                <w:noProof/>
                <w:webHidden/>
              </w:rPr>
              <w:fldChar w:fldCharType="end"/>
            </w:r>
          </w:hyperlink>
        </w:p>
        <w:p w:rsidR="00C677A1" w:rsidRDefault="00C677A1">
          <w:pPr>
            <w:pStyle w:val="TOC1"/>
            <w:tabs>
              <w:tab w:val="right" w:leader="dot" w:pos="9350"/>
            </w:tabs>
            <w:rPr>
              <w:rFonts w:eastAsiaTheme="minorEastAsia"/>
              <w:noProof/>
            </w:rPr>
          </w:pPr>
          <w:hyperlink w:anchor="_Toc63413929" w:history="1">
            <w:r w:rsidRPr="00F84B12">
              <w:rPr>
                <w:rStyle w:val="Hyperlink"/>
                <w:b/>
                <w:noProof/>
              </w:rPr>
              <w:t>PURA docket numbers</w:t>
            </w:r>
            <w:r>
              <w:rPr>
                <w:noProof/>
                <w:webHidden/>
              </w:rPr>
              <w:tab/>
            </w:r>
            <w:r>
              <w:rPr>
                <w:noProof/>
                <w:webHidden/>
              </w:rPr>
              <w:fldChar w:fldCharType="begin"/>
            </w:r>
            <w:r>
              <w:rPr>
                <w:noProof/>
                <w:webHidden/>
              </w:rPr>
              <w:instrText xml:space="preserve"> PAGEREF _Toc63413929 \h </w:instrText>
            </w:r>
            <w:r>
              <w:rPr>
                <w:noProof/>
                <w:webHidden/>
              </w:rPr>
            </w:r>
            <w:r>
              <w:rPr>
                <w:noProof/>
                <w:webHidden/>
              </w:rPr>
              <w:fldChar w:fldCharType="separate"/>
            </w:r>
            <w:r>
              <w:rPr>
                <w:noProof/>
                <w:webHidden/>
              </w:rPr>
              <w:t>4</w:t>
            </w:r>
            <w:r>
              <w:rPr>
                <w:noProof/>
                <w:webHidden/>
              </w:rPr>
              <w:fldChar w:fldCharType="end"/>
            </w:r>
          </w:hyperlink>
        </w:p>
        <w:p w:rsidR="00C677A1" w:rsidRDefault="00C677A1">
          <w:pPr>
            <w:pStyle w:val="TOC1"/>
            <w:tabs>
              <w:tab w:val="right" w:leader="dot" w:pos="9350"/>
            </w:tabs>
            <w:rPr>
              <w:rFonts w:eastAsiaTheme="minorEastAsia"/>
              <w:noProof/>
            </w:rPr>
          </w:pPr>
          <w:hyperlink w:anchor="_Toc63413930" w:history="1">
            <w:r w:rsidRPr="00F84B12">
              <w:rPr>
                <w:rStyle w:val="Hyperlink"/>
                <w:b/>
                <w:noProof/>
              </w:rPr>
              <w:t>Supplier-Related Decisions</w:t>
            </w:r>
            <w:r>
              <w:rPr>
                <w:noProof/>
                <w:webHidden/>
              </w:rPr>
              <w:tab/>
            </w:r>
            <w:r>
              <w:rPr>
                <w:noProof/>
                <w:webHidden/>
              </w:rPr>
              <w:fldChar w:fldCharType="begin"/>
            </w:r>
            <w:r>
              <w:rPr>
                <w:noProof/>
                <w:webHidden/>
              </w:rPr>
              <w:instrText xml:space="preserve"> PAGEREF _Toc63413930 \h </w:instrText>
            </w:r>
            <w:r>
              <w:rPr>
                <w:noProof/>
                <w:webHidden/>
              </w:rPr>
            </w:r>
            <w:r>
              <w:rPr>
                <w:noProof/>
                <w:webHidden/>
              </w:rPr>
              <w:fldChar w:fldCharType="separate"/>
            </w:r>
            <w:r>
              <w:rPr>
                <w:noProof/>
                <w:webHidden/>
              </w:rPr>
              <w:t>4</w:t>
            </w:r>
            <w:r>
              <w:rPr>
                <w:noProof/>
                <w:webHidden/>
              </w:rPr>
              <w:fldChar w:fldCharType="end"/>
            </w:r>
          </w:hyperlink>
        </w:p>
        <w:p w:rsidR="00C677A1" w:rsidRDefault="00C677A1">
          <w:pPr>
            <w:pStyle w:val="TOC2"/>
            <w:tabs>
              <w:tab w:val="right" w:leader="dot" w:pos="9350"/>
            </w:tabs>
            <w:rPr>
              <w:rFonts w:eastAsiaTheme="minorEastAsia"/>
              <w:noProof/>
            </w:rPr>
          </w:pPr>
          <w:hyperlink w:anchor="_Toc63413931" w:history="1">
            <w:r w:rsidRPr="00F84B12">
              <w:rPr>
                <w:rStyle w:val="Hyperlink"/>
                <w:rFonts w:asciiTheme="majorHAnsi" w:eastAsiaTheme="majorEastAsia" w:hAnsiTheme="majorHAnsi" w:cstheme="majorBidi"/>
                <w:noProof/>
              </w:rPr>
              <w:t>98-01-02RE0 - CL&amp;P and 92-06-05 - UI – Joint Decision</w:t>
            </w:r>
            <w:r>
              <w:rPr>
                <w:noProof/>
                <w:webHidden/>
              </w:rPr>
              <w:tab/>
            </w:r>
            <w:r>
              <w:rPr>
                <w:noProof/>
                <w:webHidden/>
              </w:rPr>
              <w:fldChar w:fldCharType="begin"/>
            </w:r>
            <w:r>
              <w:rPr>
                <w:noProof/>
                <w:webHidden/>
              </w:rPr>
              <w:instrText xml:space="preserve"> PAGEREF _Toc63413931 \h </w:instrText>
            </w:r>
            <w:r>
              <w:rPr>
                <w:noProof/>
                <w:webHidden/>
              </w:rPr>
            </w:r>
            <w:r>
              <w:rPr>
                <w:noProof/>
                <w:webHidden/>
              </w:rPr>
              <w:fldChar w:fldCharType="separate"/>
            </w:r>
            <w:r>
              <w:rPr>
                <w:noProof/>
                <w:webHidden/>
              </w:rPr>
              <w:t>4</w:t>
            </w:r>
            <w:r>
              <w:rPr>
                <w:noProof/>
                <w:webHidden/>
              </w:rPr>
              <w:fldChar w:fldCharType="end"/>
            </w:r>
          </w:hyperlink>
        </w:p>
        <w:p w:rsidR="00C677A1" w:rsidRDefault="00C677A1">
          <w:pPr>
            <w:pStyle w:val="TOC2"/>
            <w:tabs>
              <w:tab w:val="right" w:leader="dot" w:pos="9350"/>
            </w:tabs>
            <w:rPr>
              <w:rFonts w:eastAsiaTheme="minorEastAsia"/>
              <w:noProof/>
            </w:rPr>
          </w:pPr>
          <w:hyperlink w:anchor="_Toc63413932" w:history="1">
            <w:r w:rsidRPr="00F84B12">
              <w:rPr>
                <w:rStyle w:val="Hyperlink"/>
                <w:rFonts w:asciiTheme="majorHAnsi" w:eastAsiaTheme="majorEastAsia" w:hAnsiTheme="majorHAnsi" w:cstheme="majorBidi"/>
                <w:noProof/>
              </w:rPr>
              <w:t>98-01-02RE03</w:t>
            </w:r>
            <w:r>
              <w:rPr>
                <w:noProof/>
                <w:webHidden/>
              </w:rPr>
              <w:tab/>
            </w:r>
            <w:r>
              <w:rPr>
                <w:noProof/>
                <w:webHidden/>
              </w:rPr>
              <w:fldChar w:fldCharType="begin"/>
            </w:r>
            <w:r>
              <w:rPr>
                <w:noProof/>
                <w:webHidden/>
              </w:rPr>
              <w:instrText xml:space="preserve"> PAGEREF _Toc63413932 \h </w:instrText>
            </w:r>
            <w:r>
              <w:rPr>
                <w:noProof/>
                <w:webHidden/>
              </w:rPr>
            </w:r>
            <w:r>
              <w:rPr>
                <w:noProof/>
                <w:webHidden/>
              </w:rPr>
              <w:fldChar w:fldCharType="separate"/>
            </w:r>
            <w:r>
              <w:rPr>
                <w:noProof/>
                <w:webHidden/>
              </w:rPr>
              <w:t>4</w:t>
            </w:r>
            <w:r>
              <w:rPr>
                <w:noProof/>
                <w:webHidden/>
              </w:rPr>
              <w:fldChar w:fldCharType="end"/>
            </w:r>
          </w:hyperlink>
        </w:p>
        <w:p w:rsidR="00C677A1" w:rsidRDefault="00C677A1">
          <w:pPr>
            <w:pStyle w:val="TOC2"/>
            <w:tabs>
              <w:tab w:val="right" w:leader="dot" w:pos="9350"/>
            </w:tabs>
            <w:rPr>
              <w:rFonts w:eastAsiaTheme="minorEastAsia"/>
              <w:noProof/>
            </w:rPr>
          </w:pPr>
          <w:hyperlink w:anchor="_Toc63413933" w:history="1">
            <w:r w:rsidRPr="00F84B12">
              <w:rPr>
                <w:rStyle w:val="Hyperlink"/>
                <w:rFonts w:asciiTheme="majorHAnsi" w:eastAsiaTheme="majorEastAsia" w:hAnsiTheme="majorHAnsi" w:cstheme="majorBidi"/>
                <w:noProof/>
              </w:rPr>
              <w:t>99-03-35</w:t>
            </w:r>
            <w:r>
              <w:rPr>
                <w:noProof/>
                <w:webHidden/>
              </w:rPr>
              <w:tab/>
            </w:r>
            <w:r>
              <w:rPr>
                <w:noProof/>
                <w:webHidden/>
              </w:rPr>
              <w:fldChar w:fldCharType="begin"/>
            </w:r>
            <w:r>
              <w:rPr>
                <w:noProof/>
                <w:webHidden/>
              </w:rPr>
              <w:instrText xml:space="preserve"> PAGEREF _Toc63413933 \h </w:instrText>
            </w:r>
            <w:r>
              <w:rPr>
                <w:noProof/>
                <w:webHidden/>
              </w:rPr>
            </w:r>
            <w:r>
              <w:rPr>
                <w:noProof/>
                <w:webHidden/>
              </w:rPr>
              <w:fldChar w:fldCharType="separate"/>
            </w:r>
            <w:r>
              <w:rPr>
                <w:noProof/>
                <w:webHidden/>
              </w:rPr>
              <w:t>4</w:t>
            </w:r>
            <w:r>
              <w:rPr>
                <w:noProof/>
                <w:webHidden/>
              </w:rPr>
              <w:fldChar w:fldCharType="end"/>
            </w:r>
          </w:hyperlink>
        </w:p>
        <w:p w:rsidR="00C677A1" w:rsidRDefault="00C677A1">
          <w:pPr>
            <w:pStyle w:val="TOC2"/>
            <w:tabs>
              <w:tab w:val="right" w:leader="dot" w:pos="9350"/>
            </w:tabs>
            <w:rPr>
              <w:rFonts w:eastAsiaTheme="minorEastAsia"/>
              <w:noProof/>
            </w:rPr>
          </w:pPr>
          <w:hyperlink w:anchor="_Toc63413934" w:history="1">
            <w:r w:rsidRPr="00F84B12">
              <w:rPr>
                <w:rStyle w:val="Hyperlink"/>
                <w:noProof/>
              </w:rPr>
              <w:t>98-06-17</w:t>
            </w:r>
            <w:r>
              <w:rPr>
                <w:noProof/>
                <w:webHidden/>
              </w:rPr>
              <w:tab/>
            </w:r>
            <w:r>
              <w:rPr>
                <w:noProof/>
                <w:webHidden/>
              </w:rPr>
              <w:fldChar w:fldCharType="begin"/>
            </w:r>
            <w:r>
              <w:rPr>
                <w:noProof/>
                <w:webHidden/>
              </w:rPr>
              <w:instrText xml:space="preserve"> PAGEREF _Toc63413934 \h </w:instrText>
            </w:r>
            <w:r>
              <w:rPr>
                <w:noProof/>
                <w:webHidden/>
              </w:rPr>
            </w:r>
            <w:r>
              <w:rPr>
                <w:noProof/>
                <w:webHidden/>
              </w:rPr>
              <w:fldChar w:fldCharType="separate"/>
            </w:r>
            <w:r>
              <w:rPr>
                <w:noProof/>
                <w:webHidden/>
              </w:rPr>
              <w:t>5</w:t>
            </w:r>
            <w:r>
              <w:rPr>
                <w:noProof/>
                <w:webHidden/>
              </w:rPr>
              <w:fldChar w:fldCharType="end"/>
            </w:r>
          </w:hyperlink>
        </w:p>
        <w:p w:rsidR="00C677A1" w:rsidRDefault="00C677A1">
          <w:pPr>
            <w:pStyle w:val="TOC2"/>
            <w:tabs>
              <w:tab w:val="right" w:leader="dot" w:pos="9350"/>
            </w:tabs>
            <w:rPr>
              <w:rFonts w:eastAsiaTheme="minorEastAsia"/>
              <w:noProof/>
            </w:rPr>
          </w:pPr>
          <w:hyperlink w:anchor="_Toc63413935" w:history="1">
            <w:r w:rsidRPr="00F84B12">
              <w:rPr>
                <w:rStyle w:val="Hyperlink"/>
                <w:noProof/>
              </w:rPr>
              <w:t>05-08-02RE02</w:t>
            </w:r>
            <w:r>
              <w:rPr>
                <w:noProof/>
                <w:webHidden/>
              </w:rPr>
              <w:tab/>
            </w:r>
            <w:r>
              <w:rPr>
                <w:noProof/>
                <w:webHidden/>
              </w:rPr>
              <w:fldChar w:fldCharType="begin"/>
            </w:r>
            <w:r>
              <w:rPr>
                <w:noProof/>
                <w:webHidden/>
              </w:rPr>
              <w:instrText xml:space="preserve"> PAGEREF _Toc63413935 \h </w:instrText>
            </w:r>
            <w:r>
              <w:rPr>
                <w:noProof/>
                <w:webHidden/>
              </w:rPr>
            </w:r>
            <w:r>
              <w:rPr>
                <w:noProof/>
                <w:webHidden/>
              </w:rPr>
              <w:fldChar w:fldCharType="separate"/>
            </w:r>
            <w:r>
              <w:rPr>
                <w:noProof/>
                <w:webHidden/>
              </w:rPr>
              <w:t>5</w:t>
            </w:r>
            <w:r>
              <w:rPr>
                <w:noProof/>
                <w:webHidden/>
              </w:rPr>
              <w:fldChar w:fldCharType="end"/>
            </w:r>
          </w:hyperlink>
        </w:p>
        <w:p w:rsidR="00C677A1" w:rsidRDefault="00C677A1">
          <w:pPr>
            <w:pStyle w:val="TOC2"/>
            <w:tabs>
              <w:tab w:val="right" w:leader="dot" w:pos="9350"/>
            </w:tabs>
            <w:rPr>
              <w:rFonts w:eastAsiaTheme="minorEastAsia"/>
              <w:noProof/>
            </w:rPr>
          </w:pPr>
          <w:hyperlink w:anchor="_Toc63413936" w:history="1">
            <w:r w:rsidRPr="00F84B12">
              <w:rPr>
                <w:rStyle w:val="Hyperlink"/>
                <w:noProof/>
              </w:rPr>
              <w:t>06</w:t>
            </w:r>
            <w:r w:rsidRPr="00F84B12">
              <w:rPr>
                <w:rStyle w:val="Hyperlink"/>
                <w:noProof/>
              </w:rPr>
              <w:noBreakHyphen/>
              <w:t>10</w:t>
            </w:r>
            <w:r w:rsidRPr="00F84B12">
              <w:rPr>
                <w:rStyle w:val="Hyperlink"/>
                <w:noProof/>
              </w:rPr>
              <w:noBreakHyphen/>
              <w:t>22</w:t>
            </w:r>
            <w:r>
              <w:rPr>
                <w:noProof/>
                <w:webHidden/>
              </w:rPr>
              <w:tab/>
            </w:r>
            <w:r>
              <w:rPr>
                <w:noProof/>
                <w:webHidden/>
              </w:rPr>
              <w:fldChar w:fldCharType="begin"/>
            </w:r>
            <w:r>
              <w:rPr>
                <w:noProof/>
                <w:webHidden/>
              </w:rPr>
              <w:instrText xml:space="preserve"> PAGEREF _Toc63413936 \h </w:instrText>
            </w:r>
            <w:r>
              <w:rPr>
                <w:noProof/>
                <w:webHidden/>
              </w:rPr>
            </w:r>
            <w:r>
              <w:rPr>
                <w:noProof/>
                <w:webHidden/>
              </w:rPr>
              <w:fldChar w:fldCharType="separate"/>
            </w:r>
            <w:r>
              <w:rPr>
                <w:noProof/>
                <w:webHidden/>
              </w:rPr>
              <w:t>5</w:t>
            </w:r>
            <w:r>
              <w:rPr>
                <w:noProof/>
                <w:webHidden/>
              </w:rPr>
              <w:fldChar w:fldCharType="end"/>
            </w:r>
          </w:hyperlink>
        </w:p>
        <w:p w:rsidR="00C677A1" w:rsidRDefault="00C677A1">
          <w:pPr>
            <w:pStyle w:val="TOC2"/>
            <w:tabs>
              <w:tab w:val="right" w:leader="dot" w:pos="9350"/>
            </w:tabs>
            <w:rPr>
              <w:rFonts w:eastAsiaTheme="minorEastAsia"/>
              <w:noProof/>
            </w:rPr>
          </w:pPr>
          <w:hyperlink w:anchor="_Toc63413937" w:history="1">
            <w:r w:rsidRPr="00F84B12">
              <w:rPr>
                <w:rStyle w:val="Hyperlink"/>
                <w:noProof/>
              </w:rPr>
              <w:t>07-05-33</w:t>
            </w:r>
            <w:r>
              <w:rPr>
                <w:noProof/>
                <w:webHidden/>
              </w:rPr>
              <w:tab/>
            </w:r>
            <w:r>
              <w:rPr>
                <w:noProof/>
                <w:webHidden/>
              </w:rPr>
              <w:fldChar w:fldCharType="begin"/>
            </w:r>
            <w:r>
              <w:rPr>
                <w:noProof/>
                <w:webHidden/>
              </w:rPr>
              <w:instrText xml:space="preserve"> PAGEREF _Toc63413937 \h </w:instrText>
            </w:r>
            <w:r>
              <w:rPr>
                <w:noProof/>
                <w:webHidden/>
              </w:rPr>
            </w:r>
            <w:r>
              <w:rPr>
                <w:noProof/>
                <w:webHidden/>
              </w:rPr>
              <w:fldChar w:fldCharType="separate"/>
            </w:r>
            <w:r>
              <w:rPr>
                <w:noProof/>
                <w:webHidden/>
              </w:rPr>
              <w:t>6</w:t>
            </w:r>
            <w:r>
              <w:rPr>
                <w:noProof/>
                <w:webHidden/>
              </w:rPr>
              <w:fldChar w:fldCharType="end"/>
            </w:r>
          </w:hyperlink>
        </w:p>
        <w:p w:rsidR="00C677A1" w:rsidRDefault="00C677A1">
          <w:pPr>
            <w:pStyle w:val="TOC2"/>
            <w:tabs>
              <w:tab w:val="right" w:leader="dot" w:pos="9350"/>
            </w:tabs>
            <w:rPr>
              <w:rFonts w:eastAsiaTheme="minorEastAsia"/>
              <w:noProof/>
            </w:rPr>
          </w:pPr>
          <w:hyperlink w:anchor="_Toc63413938" w:history="1">
            <w:r w:rsidRPr="00F84B12">
              <w:rPr>
                <w:rStyle w:val="Hyperlink"/>
                <w:noProof/>
              </w:rPr>
              <w:t>10-06-24</w:t>
            </w:r>
            <w:r>
              <w:rPr>
                <w:noProof/>
                <w:webHidden/>
              </w:rPr>
              <w:tab/>
            </w:r>
            <w:r>
              <w:rPr>
                <w:noProof/>
                <w:webHidden/>
              </w:rPr>
              <w:fldChar w:fldCharType="begin"/>
            </w:r>
            <w:r>
              <w:rPr>
                <w:noProof/>
                <w:webHidden/>
              </w:rPr>
              <w:instrText xml:space="preserve"> PAGEREF _Toc63413938 \h </w:instrText>
            </w:r>
            <w:r>
              <w:rPr>
                <w:noProof/>
                <w:webHidden/>
              </w:rPr>
            </w:r>
            <w:r>
              <w:rPr>
                <w:noProof/>
                <w:webHidden/>
              </w:rPr>
              <w:fldChar w:fldCharType="separate"/>
            </w:r>
            <w:r>
              <w:rPr>
                <w:noProof/>
                <w:webHidden/>
              </w:rPr>
              <w:t>6</w:t>
            </w:r>
            <w:r>
              <w:rPr>
                <w:noProof/>
                <w:webHidden/>
              </w:rPr>
              <w:fldChar w:fldCharType="end"/>
            </w:r>
          </w:hyperlink>
        </w:p>
        <w:p w:rsidR="00C677A1" w:rsidRDefault="00C677A1">
          <w:pPr>
            <w:pStyle w:val="TOC2"/>
            <w:tabs>
              <w:tab w:val="right" w:leader="dot" w:pos="9350"/>
            </w:tabs>
            <w:rPr>
              <w:rFonts w:eastAsiaTheme="minorEastAsia"/>
              <w:noProof/>
            </w:rPr>
          </w:pPr>
          <w:hyperlink w:anchor="_Toc63413939" w:history="1">
            <w:r w:rsidRPr="00F84B12">
              <w:rPr>
                <w:rStyle w:val="Hyperlink"/>
                <w:noProof/>
              </w:rPr>
              <w:t>13-07-18</w:t>
            </w:r>
            <w:r>
              <w:rPr>
                <w:noProof/>
                <w:webHidden/>
              </w:rPr>
              <w:tab/>
            </w:r>
            <w:r>
              <w:rPr>
                <w:noProof/>
                <w:webHidden/>
              </w:rPr>
              <w:fldChar w:fldCharType="begin"/>
            </w:r>
            <w:r>
              <w:rPr>
                <w:noProof/>
                <w:webHidden/>
              </w:rPr>
              <w:instrText xml:space="preserve"> PAGEREF _Toc63413939 \h </w:instrText>
            </w:r>
            <w:r>
              <w:rPr>
                <w:noProof/>
                <w:webHidden/>
              </w:rPr>
            </w:r>
            <w:r>
              <w:rPr>
                <w:noProof/>
                <w:webHidden/>
              </w:rPr>
              <w:fldChar w:fldCharType="separate"/>
            </w:r>
            <w:r>
              <w:rPr>
                <w:noProof/>
                <w:webHidden/>
              </w:rPr>
              <w:t>6</w:t>
            </w:r>
            <w:r>
              <w:rPr>
                <w:noProof/>
                <w:webHidden/>
              </w:rPr>
              <w:fldChar w:fldCharType="end"/>
            </w:r>
          </w:hyperlink>
        </w:p>
        <w:p w:rsidR="00C677A1" w:rsidRDefault="00C677A1">
          <w:pPr>
            <w:pStyle w:val="TOC2"/>
            <w:tabs>
              <w:tab w:val="right" w:leader="dot" w:pos="9350"/>
            </w:tabs>
            <w:rPr>
              <w:rFonts w:eastAsiaTheme="minorEastAsia"/>
              <w:noProof/>
            </w:rPr>
          </w:pPr>
          <w:hyperlink w:anchor="_Toc63413940" w:history="1">
            <w:r w:rsidRPr="00F84B12">
              <w:rPr>
                <w:rStyle w:val="Hyperlink"/>
                <w:noProof/>
              </w:rPr>
              <w:t>14-07-17</w:t>
            </w:r>
            <w:r>
              <w:rPr>
                <w:noProof/>
                <w:webHidden/>
              </w:rPr>
              <w:tab/>
            </w:r>
            <w:r>
              <w:rPr>
                <w:noProof/>
                <w:webHidden/>
              </w:rPr>
              <w:fldChar w:fldCharType="begin"/>
            </w:r>
            <w:r>
              <w:rPr>
                <w:noProof/>
                <w:webHidden/>
              </w:rPr>
              <w:instrText xml:space="preserve"> PAGEREF _Toc63413940 \h </w:instrText>
            </w:r>
            <w:r>
              <w:rPr>
                <w:noProof/>
                <w:webHidden/>
              </w:rPr>
            </w:r>
            <w:r>
              <w:rPr>
                <w:noProof/>
                <w:webHidden/>
              </w:rPr>
              <w:fldChar w:fldCharType="separate"/>
            </w:r>
            <w:r>
              <w:rPr>
                <w:noProof/>
                <w:webHidden/>
              </w:rPr>
              <w:t>7</w:t>
            </w:r>
            <w:r>
              <w:rPr>
                <w:noProof/>
                <w:webHidden/>
              </w:rPr>
              <w:fldChar w:fldCharType="end"/>
            </w:r>
          </w:hyperlink>
        </w:p>
        <w:p w:rsidR="00C677A1" w:rsidRDefault="00C677A1">
          <w:pPr>
            <w:pStyle w:val="TOC2"/>
            <w:tabs>
              <w:tab w:val="right" w:leader="dot" w:pos="9350"/>
            </w:tabs>
            <w:rPr>
              <w:rFonts w:eastAsiaTheme="minorEastAsia"/>
              <w:noProof/>
            </w:rPr>
          </w:pPr>
          <w:hyperlink w:anchor="_Toc63413941" w:history="1">
            <w:r w:rsidRPr="00F84B12">
              <w:rPr>
                <w:rStyle w:val="Hyperlink"/>
                <w:noProof/>
              </w:rPr>
              <w:t>14-07-19</w:t>
            </w:r>
            <w:r>
              <w:rPr>
                <w:noProof/>
                <w:webHidden/>
              </w:rPr>
              <w:tab/>
            </w:r>
            <w:r>
              <w:rPr>
                <w:noProof/>
                <w:webHidden/>
              </w:rPr>
              <w:fldChar w:fldCharType="begin"/>
            </w:r>
            <w:r>
              <w:rPr>
                <w:noProof/>
                <w:webHidden/>
              </w:rPr>
              <w:instrText xml:space="preserve"> PAGEREF _Toc63413941 \h </w:instrText>
            </w:r>
            <w:r>
              <w:rPr>
                <w:noProof/>
                <w:webHidden/>
              </w:rPr>
            </w:r>
            <w:r>
              <w:rPr>
                <w:noProof/>
                <w:webHidden/>
              </w:rPr>
              <w:fldChar w:fldCharType="separate"/>
            </w:r>
            <w:r>
              <w:rPr>
                <w:noProof/>
                <w:webHidden/>
              </w:rPr>
              <w:t>8</w:t>
            </w:r>
            <w:r>
              <w:rPr>
                <w:noProof/>
                <w:webHidden/>
              </w:rPr>
              <w:fldChar w:fldCharType="end"/>
            </w:r>
          </w:hyperlink>
        </w:p>
        <w:p w:rsidR="00C677A1" w:rsidRDefault="00C677A1">
          <w:pPr>
            <w:pStyle w:val="TOC2"/>
            <w:tabs>
              <w:tab w:val="right" w:leader="dot" w:pos="9350"/>
            </w:tabs>
            <w:rPr>
              <w:rFonts w:eastAsiaTheme="minorEastAsia"/>
              <w:noProof/>
            </w:rPr>
          </w:pPr>
          <w:hyperlink w:anchor="_Toc63413942" w:history="1">
            <w:r w:rsidRPr="00F84B12">
              <w:rPr>
                <w:rStyle w:val="Hyperlink"/>
                <w:noProof/>
              </w:rPr>
              <w:t>14-07-19RE01</w:t>
            </w:r>
            <w:r>
              <w:rPr>
                <w:noProof/>
                <w:webHidden/>
              </w:rPr>
              <w:tab/>
            </w:r>
            <w:r>
              <w:rPr>
                <w:noProof/>
                <w:webHidden/>
              </w:rPr>
              <w:fldChar w:fldCharType="begin"/>
            </w:r>
            <w:r>
              <w:rPr>
                <w:noProof/>
                <w:webHidden/>
              </w:rPr>
              <w:instrText xml:space="preserve"> PAGEREF _Toc63413942 \h </w:instrText>
            </w:r>
            <w:r>
              <w:rPr>
                <w:noProof/>
                <w:webHidden/>
              </w:rPr>
            </w:r>
            <w:r>
              <w:rPr>
                <w:noProof/>
                <w:webHidden/>
              </w:rPr>
              <w:fldChar w:fldCharType="separate"/>
            </w:r>
            <w:r>
              <w:rPr>
                <w:noProof/>
                <w:webHidden/>
              </w:rPr>
              <w:t>8</w:t>
            </w:r>
            <w:r>
              <w:rPr>
                <w:noProof/>
                <w:webHidden/>
              </w:rPr>
              <w:fldChar w:fldCharType="end"/>
            </w:r>
          </w:hyperlink>
        </w:p>
        <w:p w:rsidR="00C677A1" w:rsidRDefault="00C677A1">
          <w:pPr>
            <w:pStyle w:val="TOC2"/>
            <w:tabs>
              <w:tab w:val="right" w:leader="dot" w:pos="9350"/>
            </w:tabs>
            <w:rPr>
              <w:rFonts w:eastAsiaTheme="minorEastAsia"/>
              <w:noProof/>
            </w:rPr>
          </w:pPr>
          <w:hyperlink w:anchor="_Toc63413943" w:history="1">
            <w:r w:rsidRPr="00F84B12">
              <w:rPr>
                <w:rStyle w:val="Hyperlink"/>
                <w:noProof/>
              </w:rPr>
              <w:t>14-07-19RE05</w:t>
            </w:r>
            <w:r>
              <w:rPr>
                <w:noProof/>
                <w:webHidden/>
              </w:rPr>
              <w:tab/>
            </w:r>
            <w:r>
              <w:rPr>
                <w:noProof/>
                <w:webHidden/>
              </w:rPr>
              <w:fldChar w:fldCharType="begin"/>
            </w:r>
            <w:r>
              <w:rPr>
                <w:noProof/>
                <w:webHidden/>
              </w:rPr>
              <w:instrText xml:space="preserve"> PAGEREF _Toc63413943 \h </w:instrText>
            </w:r>
            <w:r>
              <w:rPr>
                <w:noProof/>
                <w:webHidden/>
              </w:rPr>
            </w:r>
            <w:r>
              <w:rPr>
                <w:noProof/>
                <w:webHidden/>
              </w:rPr>
              <w:fldChar w:fldCharType="separate"/>
            </w:r>
            <w:r>
              <w:rPr>
                <w:noProof/>
                <w:webHidden/>
              </w:rPr>
              <w:t>8</w:t>
            </w:r>
            <w:r>
              <w:rPr>
                <w:noProof/>
                <w:webHidden/>
              </w:rPr>
              <w:fldChar w:fldCharType="end"/>
            </w:r>
          </w:hyperlink>
        </w:p>
        <w:p w:rsidR="00C677A1" w:rsidRDefault="00C677A1">
          <w:pPr>
            <w:pStyle w:val="TOC2"/>
            <w:tabs>
              <w:tab w:val="right" w:leader="dot" w:pos="9350"/>
            </w:tabs>
            <w:rPr>
              <w:rFonts w:eastAsiaTheme="minorEastAsia"/>
              <w:noProof/>
            </w:rPr>
          </w:pPr>
          <w:hyperlink w:anchor="_Toc63413944" w:history="1">
            <w:r w:rsidRPr="00F84B12">
              <w:rPr>
                <w:rStyle w:val="Hyperlink"/>
                <w:noProof/>
              </w:rPr>
              <w:t>15-06-15</w:t>
            </w:r>
            <w:r>
              <w:rPr>
                <w:noProof/>
                <w:webHidden/>
              </w:rPr>
              <w:tab/>
            </w:r>
            <w:r>
              <w:rPr>
                <w:noProof/>
                <w:webHidden/>
              </w:rPr>
              <w:fldChar w:fldCharType="begin"/>
            </w:r>
            <w:r>
              <w:rPr>
                <w:noProof/>
                <w:webHidden/>
              </w:rPr>
              <w:instrText xml:space="preserve"> PAGEREF _Toc63413944 \h </w:instrText>
            </w:r>
            <w:r>
              <w:rPr>
                <w:noProof/>
                <w:webHidden/>
              </w:rPr>
            </w:r>
            <w:r>
              <w:rPr>
                <w:noProof/>
                <w:webHidden/>
              </w:rPr>
              <w:fldChar w:fldCharType="separate"/>
            </w:r>
            <w:r>
              <w:rPr>
                <w:noProof/>
                <w:webHidden/>
              </w:rPr>
              <w:t>9</w:t>
            </w:r>
            <w:r>
              <w:rPr>
                <w:noProof/>
                <w:webHidden/>
              </w:rPr>
              <w:fldChar w:fldCharType="end"/>
            </w:r>
          </w:hyperlink>
        </w:p>
        <w:p w:rsidR="00C677A1" w:rsidRDefault="00C677A1">
          <w:pPr>
            <w:pStyle w:val="TOC2"/>
            <w:tabs>
              <w:tab w:val="right" w:leader="dot" w:pos="9350"/>
            </w:tabs>
            <w:rPr>
              <w:rFonts w:eastAsiaTheme="minorEastAsia"/>
              <w:noProof/>
            </w:rPr>
          </w:pPr>
          <w:hyperlink w:anchor="_Toc63413945" w:history="1">
            <w:r w:rsidRPr="00F84B12">
              <w:rPr>
                <w:rStyle w:val="Hyperlink"/>
                <w:noProof/>
              </w:rPr>
              <w:t>16-12-29</w:t>
            </w:r>
            <w:r>
              <w:rPr>
                <w:noProof/>
                <w:webHidden/>
              </w:rPr>
              <w:tab/>
            </w:r>
            <w:r>
              <w:rPr>
                <w:noProof/>
                <w:webHidden/>
              </w:rPr>
              <w:fldChar w:fldCharType="begin"/>
            </w:r>
            <w:r>
              <w:rPr>
                <w:noProof/>
                <w:webHidden/>
              </w:rPr>
              <w:instrText xml:space="preserve"> PAGEREF _Toc63413945 \h </w:instrText>
            </w:r>
            <w:r>
              <w:rPr>
                <w:noProof/>
                <w:webHidden/>
              </w:rPr>
            </w:r>
            <w:r>
              <w:rPr>
                <w:noProof/>
                <w:webHidden/>
              </w:rPr>
              <w:fldChar w:fldCharType="separate"/>
            </w:r>
            <w:r>
              <w:rPr>
                <w:noProof/>
                <w:webHidden/>
              </w:rPr>
              <w:t>9</w:t>
            </w:r>
            <w:r>
              <w:rPr>
                <w:noProof/>
                <w:webHidden/>
              </w:rPr>
              <w:fldChar w:fldCharType="end"/>
            </w:r>
          </w:hyperlink>
        </w:p>
        <w:p w:rsidR="00311DB8" w:rsidRDefault="00311DB8" w:rsidP="009129EF">
          <w:r>
            <w:rPr>
              <w:b/>
              <w:bCs/>
              <w:noProof/>
            </w:rPr>
            <w:fldChar w:fldCharType="end"/>
          </w:r>
        </w:p>
      </w:sdtContent>
    </w:sdt>
    <w:p w:rsidR="00B16263" w:rsidRPr="009129EF" w:rsidRDefault="00B16263" w:rsidP="00311DB8">
      <w:pPr>
        <w:pStyle w:val="Heading1"/>
        <w:rPr>
          <w:b/>
        </w:rPr>
      </w:pPr>
      <w:bookmarkStart w:id="0" w:name="_Toc63413918"/>
      <w:r w:rsidRPr="009129EF">
        <w:rPr>
          <w:b/>
        </w:rPr>
        <w:lastRenderedPageBreak/>
        <w:t>Docket Control Filing Procedures</w:t>
      </w:r>
      <w:bookmarkEnd w:id="0"/>
    </w:p>
    <w:p w:rsidR="00FD13D2" w:rsidRDefault="00FD13D2" w:rsidP="00651F6E">
      <w:pPr>
        <w:spacing w:after="0" w:line="240" w:lineRule="auto"/>
      </w:pPr>
      <w:r>
        <w:t xml:space="preserve">Instructions to establish an account </w:t>
      </w:r>
      <w:r w:rsidR="004B3239">
        <w:t xml:space="preserve">and submit information </w:t>
      </w:r>
      <w:r>
        <w:t>are located on PURA’s website.</w:t>
      </w:r>
    </w:p>
    <w:p w:rsidR="004B3239" w:rsidRDefault="00CD1765" w:rsidP="00AC3C24">
      <w:pPr>
        <w:spacing w:after="0" w:line="240" w:lineRule="auto"/>
      </w:pPr>
      <w:hyperlink r:id="rId8" w:history="1">
        <w:r w:rsidR="004B3239" w:rsidRPr="004B3239">
          <w:rPr>
            <w:rStyle w:val="Hyperlink"/>
          </w:rPr>
          <w:t>Establish an account</w:t>
        </w:r>
      </w:hyperlink>
    </w:p>
    <w:p w:rsidR="004B3239" w:rsidRDefault="00CD1765" w:rsidP="00AC3C24">
      <w:pPr>
        <w:spacing w:after="0" w:line="240" w:lineRule="auto"/>
      </w:pPr>
      <w:hyperlink r:id="rId9" w:history="1">
        <w:r w:rsidR="004B3239" w:rsidRPr="004B3239">
          <w:rPr>
            <w:rStyle w:val="Hyperlink"/>
          </w:rPr>
          <w:t>Submit information</w:t>
        </w:r>
      </w:hyperlink>
    </w:p>
    <w:p w:rsidR="000E770A" w:rsidRDefault="000E770A" w:rsidP="00AC3C24">
      <w:pPr>
        <w:spacing w:after="0" w:line="240" w:lineRule="auto"/>
      </w:pPr>
      <w:r>
        <w:t xml:space="preserve">For document filing assistance contact the PURA Executive Secretary at 860-827-2836 or </w:t>
      </w:r>
      <w:hyperlink r:id="rId10" w:history="1">
        <w:r w:rsidRPr="001D0845">
          <w:rPr>
            <w:rStyle w:val="Hyperlink"/>
          </w:rPr>
          <w:t>PURA.ExecutiveSecretary@ct.gov</w:t>
        </w:r>
      </w:hyperlink>
      <w:r>
        <w:t>.</w:t>
      </w:r>
    </w:p>
    <w:p w:rsidR="00B81992" w:rsidRPr="009129EF" w:rsidRDefault="00B81992" w:rsidP="00B81992">
      <w:pPr>
        <w:pStyle w:val="Heading1"/>
        <w:rPr>
          <w:b/>
        </w:rPr>
      </w:pPr>
      <w:bookmarkStart w:id="1" w:name="_Toc63413919"/>
      <w:r w:rsidRPr="009129EF">
        <w:rPr>
          <w:b/>
        </w:rPr>
        <w:t>Statutes and Regulations</w:t>
      </w:r>
      <w:bookmarkEnd w:id="1"/>
    </w:p>
    <w:p w:rsidR="00E7517E" w:rsidRPr="00E7517E" w:rsidRDefault="00E7517E" w:rsidP="00E7517E">
      <w:pPr>
        <w:pStyle w:val="Heading2"/>
      </w:pPr>
      <w:bookmarkStart w:id="2" w:name="_Toc63413920"/>
      <w:r w:rsidRPr="00E7517E">
        <w:t>Conn. Gen. Stat. § 16-245d</w:t>
      </w:r>
      <w:bookmarkEnd w:id="2"/>
    </w:p>
    <w:p w:rsidR="00E7517E" w:rsidRDefault="00E7517E" w:rsidP="001672ED">
      <w:pPr>
        <w:spacing w:after="0" w:line="240" w:lineRule="auto"/>
      </w:pPr>
      <w:r w:rsidRPr="00E7517E">
        <w:t xml:space="preserve">Must submit the following to the EDC for inclusion on </w:t>
      </w:r>
      <w:r>
        <w:t xml:space="preserve">residential </w:t>
      </w:r>
      <w:r w:rsidRPr="00E7517E">
        <w:t>bill</w:t>
      </w:r>
      <w:r>
        <w:t>s</w:t>
      </w:r>
      <w:r w:rsidRPr="00E7517E">
        <w:t>:</w:t>
      </w:r>
    </w:p>
    <w:p w:rsidR="00E7517E" w:rsidRPr="00E7517E" w:rsidRDefault="00E7517E" w:rsidP="001672ED">
      <w:pPr>
        <w:pStyle w:val="ListParagraph"/>
        <w:numPr>
          <w:ilvl w:val="0"/>
          <w:numId w:val="25"/>
        </w:numPr>
        <w:ind w:left="360"/>
      </w:pPr>
      <w:r w:rsidRPr="00E7517E">
        <w:t>Term and expiration date</w:t>
      </w:r>
    </w:p>
    <w:p w:rsidR="00E7517E" w:rsidRPr="00E7517E" w:rsidRDefault="00E7517E" w:rsidP="001672ED">
      <w:pPr>
        <w:pStyle w:val="ListParagraph"/>
        <w:numPr>
          <w:ilvl w:val="0"/>
          <w:numId w:val="25"/>
        </w:numPr>
        <w:ind w:left="360"/>
      </w:pPr>
      <w:r w:rsidRPr="00E7517E">
        <w:t>Next cycle rate</w:t>
      </w:r>
    </w:p>
    <w:p w:rsidR="00E7517E" w:rsidRPr="00E7517E" w:rsidRDefault="00E7517E" w:rsidP="001672ED">
      <w:pPr>
        <w:pStyle w:val="ListParagraph"/>
        <w:numPr>
          <w:ilvl w:val="0"/>
          <w:numId w:val="25"/>
        </w:numPr>
        <w:ind w:left="360"/>
      </w:pPr>
      <w:r w:rsidRPr="00E7517E">
        <w:t>Cancellation fee</w:t>
      </w:r>
    </w:p>
    <w:p w:rsidR="00B81992" w:rsidRDefault="00E7517E" w:rsidP="001672ED">
      <w:pPr>
        <w:pStyle w:val="ListParagraph"/>
        <w:numPr>
          <w:ilvl w:val="0"/>
          <w:numId w:val="25"/>
        </w:numPr>
        <w:ind w:left="360"/>
      </w:pPr>
      <w:r w:rsidRPr="00E7517E">
        <w:t>Fixed or variable rate</w:t>
      </w:r>
    </w:p>
    <w:p w:rsidR="0019398A" w:rsidRDefault="0019398A" w:rsidP="001672ED">
      <w:pPr>
        <w:pStyle w:val="ListParagraph"/>
        <w:numPr>
          <w:ilvl w:val="0"/>
          <w:numId w:val="25"/>
        </w:numPr>
        <w:ind w:left="360"/>
      </w:pPr>
      <w:r>
        <w:t>See, Docket No. 14-07-19RE05</w:t>
      </w:r>
    </w:p>
    <w:p w:rsidR="001C1774" w:rsidRPr="001C1774" w:rsidRDefault="001C1774" w:rsidP="001C1774">
      <w:pPr>
        <w:pStyle w:val="Heading2"/>
      </w:pPr>
      <w:bookmarkStart w:id="3" w:name="_Toc63413921"/>
      <w:r w:rsidRPr="001C1774">
        <w:t>Conn. Gen. Stat. § 16-245o</w:t>
      </w:r>
      <w:bookmarkEnd w:id="3"/>
    </w:p>
    <w:p w:rsidR="001C1774" w:rsidRPr="001C1774" w:rsidRDefault="001C1774" w:rsidP="001C1774">
      <w:pPr>
        <w:pStyle w:val="ListParagraph"/>
        <w:numPr>
          <w:ilvl w:val="0"/>
          <w:numId w:val="25"/>
        </w:numPr>
        <w:ind w:left="360"/>
      </w:pPr>
      <w:r w:rsidRPr="001C1774">
        <w:t>Requirements regarding contracts with customers</w:t>
      </w:r>
    </w:p>
    <w:p w:rsidR="001C1774" w:rsidRPr="001C1774" w:rsidRDefault="001C1774" w:rsidP="001C1774">
      <w:pPr>
        <w:pStyle w:val="ListParagraph"/>
        <w:numPr>
          <w:ilvl w:val="0"/>
          <w:numId w:val="25"/>
        </w:numPr>
        <w:ind w:left="360"/>
      </w:pPr>
      <w:r w:rsidRPr="001C1774">
        <w:t>Requirements regarding marketing to customers</w:t>
      </w:r>
    </w:p>
    <w:p w:rsidR="001C1774" w:rsidRPr="001C1774" w:rsidRDefault="00C078D4" w:rsidP="001C1774">
      <w:pPr>
        <w:pStyle w:val="ListParagraph"/>
        <w:numPr>
          <w:ilvl w:val="0"/>
          <w:numId w:val="25"/>
        </w:numPr>
        <w:ind w:left="360"/>
      </w:pPr>
      <w:r>
        <w:t xml:space="preserve">Residential </w:t>
      </w:r>
      <w:r w:rsidR="001C1774" w:rsidRPr="001C1774">
        <w:t>early te</w:t>
      </w:r>
      <w:r w:rsidR="001C1774">
        <w:t xml:space="preserve">rmination fee </w:t>
      </w:r>
      <w:r>
        <w:t xml:space="preserve">cannot </w:t>
      </w:r>
      <w:r w:rsidR="001C1774">
        <w:t>exce</w:t>
      </w:r>
      <w:r>
        <w:t>ed</w:t>
      </w:r>
      <w:r w:rsidR="001C1774">
        <w:t xml:space="preserve"> $50.</w:t>
      </w:r>
    </w:p>
    <w:p w:rsidR="006348FE" w:rsidRPr="006348FE" w:rsidRDefault="006348FE" w:rsidP="006348FE">
      <w:pPr>
        <w:pStyle w:val="Heading2"/>
      </w:pPr>
      <w:bookmarkStart w:id="4" w:name="_Toc63413922"/>
      <w:r w:rsidRPr="006348FE">
        <w:t>Conn. Gen. Stat. § 16-245</w:t>
      </w:r>
      <w:bookmarkEnd w:id="4"/>
    </w:p>
    <w:p w:rsidR="006348FE" w:rsidRPr="006348FE" w:rsidRDefault="006348FE" w:rsidP="006348FE">
      <w:pPr>
        <w:pStyle w:val="ListParagraph"/>
        <w:numPr>
          <w:ilvl w:val="0"/>
          <w:numId w:val="25"/>
        </w:numPr>
        <w:ind w:left="360"/>
      </w:pPr>
      <w:r w:rsidRPr="006348FE">
        <w:t>16-245(g)(1) &amp; (2) – Must comply with NLRA and CUTPA</w:t>
      </w:r>
    </w:p>
    <w:p w:rsidR="006348FE" w:rsidRPr="006348FE" w:rsidRDefault="006348FE" w:rsidP="006348FE">
      <w:pPr>
        <w:pStyle w:val="ListParagraph"/>
        <w:numPr>
          <w:ilvl w:val="0"/>
          <w:numId w:val="25"/>
        </w:numPr>
        <w:ind w:left="360"/>
      </w:pPr>
      <w:r w:rsidRPr="006348FE">
        <w:t xml:space="preserve">16-245(g)(12) – Historical Variable Rates – </w:t>
      </w:r>
    </w:p>
    <w:p w:rsidR="006348FE" w:rsidRPr="006348FE" w:rsidRDefault="006348FE" w:rsidP="006348FE">
      <w:pPr>
        <w:pStyle w:val="ListParagraph"/>
        <w:numPr>
          <w:ilvl w:val="0"/>
          <w:numId w:val="28"/>
        </w:numPr>
      </w:pPr>
      <w:r w:rsidRPr="006348FE">
        <w:t>Filed monthly in licensing docket</w:t>
      </w:r>
    </w:p>
    <w:p w:rsidR="006348FE" w:rsidRPr="006348FE" w:rsidRDefault="006348FE" w:rsidP="006348FE">
      <w:pPr>
        <w:pStyle w:val="ListParagraph"/>
        <w:numPr>
          <w:ilvl w:val="0"/>
          <w:numId w:val="28"/>
        </w:numPr>
      </w:pPr>
      <w:r w:rsidRPr="006348FE">
        <w:t>Ensure each month’s filing matches the month before</w:t>
      </w:r>
    </w:p>
    <w:p w:rsidR="006348FE" w:rsidRPr="006348FE" w:rsidRDefault="006348FE" w:rsidP="006348FE">
      <w:pPr>
        <w:pStyle w:val="ListParagraph"/>
        <w:numPr>
          <w:ilvl w:val="0"/>
          <w:numId w:val="28"/>
        </w:numPr>
      </w:pPr>
      <w:r w:rsidRPr="006348FE">
        <w:t xml:space="preserve">If no variable rates, indicate so in </w:t>
      </w:r>
      <w:r w:rsidR="00DE342F">
        <w:t xml:space="preserve">monthly </w:t>
      </w:r>
      <w:r w:rsidRPr="006348FE">
        <w:t>filing</w:t>
      </w:r>
    </w:p>
    <w:p w:rsidR="006348FE" w:rsidRPr="006348FE" w:rsidRDefault="006348FE" w:rsidP="006348FE">
      <w:pPr>
        <w:pStyle w:val="ListParagraph"/>
        <w:numPr>
          <w:ilvl w:val="0"/>
          <w:numId w:val="25"/>
        </w:numPr>
        <w:ind w:left="360"/>
      </w:pPr>
      <w:r w:rsidRPr="006348FE">
        <w:t>16-245(</w:t>
      </w:r>
      <w:proofErr w:type="spellStart"/>
      <w:r w:rsidRPr="006348FE">
        <w:t>i</w:t>
      </w:r>
      <w:proofErr w:type="spellEnd"/>
      <w:r w:rsidRPr="006348FE">
        <w:t xml:space="preserve">) – Must notify PURA at least 10 days prior to:  </w:t>
      </w:r>
    </w:p>
    <w:p w:rsidR="006348FE" w:rsidRPr="006348FE" w:rsidRDefault="006348FE" w:rsidP="006348FE">
      <w:pPr>
        <w:pStyle w:val="ListParagraph"/>
        <w:numPr>
          <w:ilvl w:val="0"/>
          <w:numId w:val="29"/>
        </w:numPr>
      </w:pPr>
      <w:r w:rsidRPr="006348FE">
        <w:t>Change in corporate structure</w:t>
      </w:r>
    </w:p>
    <w:p w:rsidR="006348FE" w:rsidRPr="006348FE" w:rsidRDefault="006348FE" w:rsidP="006348FE">
      <w:pPr>
        <w:pStyle w:val="ListParagraph"/>
        <w:numPr>
          <w:ilvl w:val="0"/>
          <w:numId w:val="29"/>
        </w:numPr>
      </w:pPr>
      <w:r w:rsidRPr="006348FE">
        <w:t>Change in scope of service</w:t>
      </w:r>
    </w:p>
    <w:p w:rsidR="00271ABE" w:rsidRDefault="006348FE" w:rsidP="006348FE">
      <w:pPr>
        <w:pStyle w:val="ListParagraph"/>
        <w:numPr>
          <w:ilvl w:val="0"/>
          <w:numId w:val="29"/>
        </w:numPr>
      </w:pPr>
      <w:r w:rsidRPr="006348FE">
        <w:t>Assignment of customers</w:t>
      </w:r>
    </w:p>
    <w:p w:rsidR="00271ABE" w:rsidRDefault="00271ABE">
      <w:r>
        <w:br w:type="page"/>
      </w:r>
    </w:p>
    <w:p w:rsidR="00271ABE" w:rsidRPr="001C1774" w:rsidRDefault="00271ABE" w:rsidP="00271ABE">
      <w:pPr>
        <w:pStyle w:val="Heading2"/>
      </w:pPr>
      <w:bookmarkStart w:id="5" w:name="_Toc63413923"/>
      <w:r w:rsidRPr="001C1774">
        <w:lastRenderedPageBreak/>
        <w:t>Conn. Gen. Stat. § 16-245s</w:t>
      </w:r>
      <w:bookmarkEnd w:id="5"/>
    </w:p>
    <w:p w:rsidR="00271ABE" w:rsidRDefault="00271ABE" w:rsidP="00271ABE">
      <w:pPr>
        <w:pStyle w:val="ListParagraph"/>
        <w:numPr>
          <w:ilvl w:val="0"/>
          <w:numId w:val="25"/>
        </w:numPr>
        <w:ind w:left="360"/>
      </w:pPr>
      <w:r w:rsidRPr="001C1774">
        <w:t>Confirmation and TPV requirements</w:t>
      </w:r>
    </w:p>
    <w:p w:rsidR="007A3812" w:rsidRPr="009129EF" w:rsidRDefault="00271ABE" w:rsidP="00271ABE">
      <w:pPr>
        <w:pStyle w:val="Heading1"/>
        <w:rPr>
          <w:b/>
        </w:rPr>
      </w:pPr>
      <w:bookmarkStart w:id="6" w:name="_Toc63413924"/>
      <w:r w:rsidRPr="009129EF">
        <w:rPr>
          <w:b/>
        </w:rPr>
        <w:t>Ex Parte Communications</w:t>
      </w:r>
      <w:bookmarkEnd w:id="6"/>
    </w:p>
    <w:p w:rsidR="00271ABE" w:rsidRPr="00271ABE" w:rsidRDefault="00271ABE" w:rsidP="009129EF">
      <w:pPr>
        <w:pStyle w:val="ListParagraph"/>
        <w:numPr>
          <w:ilvl w:val="0"/>
          <w:numId w:val="25"/>
        </w:numPr>
        <w:ind w:left="360"/>
        <w:jc w:val="both"/>
      </w:pPr>
      <w:r w:rsidRPr="00271ABE">
        <w:t>Ex parte communications means communicating to someone at PURA about the substance of a pending docket without all other parties to the docket participating in that communication.</w:t>
      </w:r>
    </w:p>
    <w:p w:rsidR="00271ABE" w:rsidRPr="00271ABE" w:rsidRDefault="00271ABE" w:rsidP="009129EF">
      <w:pPr>
        <w:pStyle w:val="ListParagraph"/>
        <w:numPr>
          <w:ilvl w:val="0"/>
          <w:numId w:val="25"/>
        </w:numPr>
        <w:ind w:left="360"/>
        <w:jc w:val="both"/>
      </w:pPr>
      <w:r w:rsidRPr="00271ABE">
        <w:t>Never allowed in contested dockets</w:t>
      </w:r>
    </w:p>
    <w:p w:rsidR="00271ABE" w:rsidRPr="00271ABE" w:rsidRDefault="00271ABE" w:rsidP="009129EF">
      <w:pPr>
        <w:pStyle w:val="ListParagraph"/>
        <w:numPr>
          <w:ilvl w:val="0"/>
          <w:numId w:val="25"/>
        </w:numPr>
        <w:ind w:left="360"/>
        <w:jc w:val="both"/>
      </w:pPr>
      <w:r w:rsidRPr="00271ABE">
        <w:t>Not allowed in uncontested dockets unless waived</w:t>
      </w:r>
    </w:p>
    <w:p w:rsidR="00271ABE" w:rsidRPr="00271ABE" w:rsidRDefault="00B064C2" w:rsidP="009129EF">
      <w:pPr>
        <w:pStyle w:val="ListParagraph"/>
        <w:numPr>
          <w:ilvl w:val="0"/>
          <w:numId w:val="25"/>
        </w:numPr>
        <w:ind w:left="360"/>
        <w:jc w:val="both"/>
      </w:pPr>
      <w:r>
        <w:t>Direct p</w:t>
      </w:r>
      <w:r w:rsidR="00271ABE" w:rsidRPr="00271ABE">
        <w:t>rocedural questions to the Case Coordinator</w:t>
      </w:r>
    </w:p>
    <w:p w:rsidR="00271ABE" w:rsidRPr="00271ABE" w:rsidRDefault="00B064C2" w:rsidP="009129EF">
      <w:pPr>
        <w:pStyle w:val="ListParagraph"/>
        <w:numPr>
          <w:ilvl w:val="0"/>
          <w:numId w:val="25"/>
        </w:numPr>
        <w:ind w:left="360"/>
        <w:jc w:val="both"/>
      </w:pPr>
      <w:r>
        <w:t xml:space="preserve">Case Coordinator contact information will be provided in the docket </w:t>
      </w:r>
      <w:r w:rsidR="00271ABE" w:rsidRPr="00271ABE">
        <w:t>Notice of Proceeding</w:t>
      </w:r>
    </w:p>
    <w:p w:rsidR="009129EF" w:rsidRDefault="004E5F77" w:rsidP="009129EF">
      <w:pPr>
        <w:pStyle w:val="ListParagraph"/>
        <w:numPr>
          <w:ilvl w:val="0"/>
          <w:numId w:val="25"/>
        </w:numPr>
        <w:ind w:left="360"/>
        <w:jc w:val="both"/>
      </w:pPr>
      <w:r>
        <w:t xml:space="preserve">Direct any </w:t>
      </w:r>
      <w:r w:rsidR="00271ABE" w:rsidRPr="00271ABE">
        <w:t xml:space="preserve">questions </w:t>
      </w:r>
      <w:r>
        <w:t xml:space="preserve">about filing information </w:t>
      </w:r>
      <w:r w:rsidR="00271ABE" w:rsidRPr="00271ABE">
        <w:t xml:space="preserve">to Docket Control </w:t>
      </w:r>
      <w:r>
        <w:t xml:space="preserve">staff </w:t>
      </w:r>
      <w:r w:rsidR="00271ABE" w:rsidRPr="00271ABE">
        <w:t xml:space="preserve">or </w:t>
      </w:r>
      <w:r>
        <w:t xml:space="preserve">the </w:t>
      </w:r>
      <w:r w:rsidR="00271ABE" w:rsidRPr="00271ABE">
        <w:t>Case Coordinator</w:t>
      </w:r>
      <w:r>
        <w:t>.</w:t>
      </w:r>
    </w:p>
    <w:p w:rsidR="00D3381B" w:rsidRPr="009129EF" w:rsidRDefault="00D3381B" w:rsidP="000F5BD6">
      <w:pPr>
        <w:pStyle w:val="Heading1"/>
        <w:rPr>
          <w:b/>
        </w:rPr>
      </w:pPr>
      <w:bookmarkStart w:id="7" w:name="_Toc63413925"/>
      <w:r w:rsidRPr="009129EF">
        <w:rPr>
          <w:b/>
        </w:rPr>
        <w:t xml:space="preserve">Education, Outreach &amp; Enforcement </w:t>
      </w:r>
      <w:r w:rsidR="009A5CDE" w:rsidRPr="009129EF">
        <w:rPr>
          <w:b/>
        </w:rPr>
        <w:t>–</w:t>
      </w:r>
      <w:r w:rsidRPr="009129EF">
        <w:rPr>
          <w:b/>
        </w:rPr>
        <w:t xml:space="preserve"> EOE</w:t>
      </w:r>
      <w:bookmarkEnd w:id="7"/>
    </w:p>
    <w:p w:rsidR="009129EF" w:rsidRPr="009129EF" w:rsidRDefault="009129EF" w:rsidP="009129EF">
      <w:pPr>
        <w:spacing w:after="0" w:line="240" w:lineRule="auto"/>
        <w:jc w:val="both"/>
        <w:rPr>
          <w:rFonts w:eastAsia="Times New Roman" w:cstheme="minorHAnsi"/>
        </w:rPr>
      </w:pPr>
      <w:r>
        <w:rPr>
          <w:rFonts w:eastAsia="Times New Roman" w:cstheme="minorHAnsi"/>
        </w:rPr>
        <w:t>T</w:t>
      </w:r>
      <w:r w:rsidRPr="009129EF">
        <w:rPr>
          <w:rFonts w:eastAsia="Times New Roman" w:cstheme="minorHAnsi"/>
        </w:rPr>
        <w:t>he key objective of EOE is to provide ratepayers and parties that interact with PURA an improved customer service experience. The "ex parte" rules that apply to PURA's decisional staff do not apply to EOE, meaning ratepayers and other parties may pose questions and concerns to the office.</w:t>
      </w:r>
    </w:p>
    <w:p w:rsidR="00C677A1" w:rsidRDefault="00C677A1" w:rsidP="009129EF">
      <w:pPr>
        <w:spacing w:after="0" w:line="240" w:lineRule="auto"/>
        <w:jc w:val="both"/>
        <w:rPr>
          <w:rFonts w:eastAsia="Times New Roman" w:cstheme="minorHAnsi"/>
        </w:rPr>
      </w:pPr>
    </w:p>
    <w:p w:rsidR="009129EF" w:rsidRPr="009129EF" w:rsidRDefault="009129EF" w:rsidP="009129EF">
      <w:pPr>
        <w:spacing w:after="0" w:line="240" w:lineRule="auto"/>
        <w:jc w:val="both"/>
        <w:rPr>
          <w:rFonts w:eastAsia="Times New Roman" w:cstheme="minorHAnsi"/>
        </w:rPr>
      </w:pPr>
      <w:r w:rsidRPr="009129EF">
        <w:rPr>
          <w:rFonts w:eastAsia="Times New Roman" w:cstheme="minorHAnsi"/>
        </w:rPr>
        <w:t>EOE is comprised of three units, including:</w:t>
      </w:r>
    </w:p>
    <w:p w:rsidR="009129EF" w:rsidRPr="009129EF" w:rsidRDefault="009129EF" w:rsidP="009129EF">
      <w:pPr>
        <w:spacing w:after="0" w:line="240" w:lineRule="auto"/>
        <w:rPr>
          <w:rFonts w:eastAsia="Times New Roman" w:cstheme="minorHAnsi"/>
        </w:rPr>
      </w:pPr>
    </w:p>
    <w:p w:rsidR="009129EF" w:rsidRPr="005E56B4" w:rsidRDefault="009129EF" w:rsidP="004111C5">
      <w:pPr>
        <w:pStyle w:val="Heading2"/>
        <w:rPr>
          <w:rFonts w:eastAsia="Times New Roman"/>
          <w:u w:val="single"/>
        </w:rPr>
      </w:pPr>
      <w:bookmarkStart w:id="8" w:name="_Toc63413926"/>
      <w:r w:rsidRPr="005E56B4">
        <w:rPr>
          <w:rFonts w:eastAsia="Times New Roman"/>
          <w:u w:val="single"/>
        </w:rPr>
        <w:t>Licensing &amp; Certification Unit</w:t>
      </w:r>
      <w:bookmarkEnd w:id="8"/>
    </w:p>
    <w:p w:rsidR="009129EF" w:rsidRDefault="009129EF" w:rsidP="009129EF">
      <w:pPr>
        <w:shd w:val="clear" w:color="auto" w:fill="FEFEFE"/>
        <w:spacing w:after="0" w:line="240" w:lineRule="auto"/>
        <w:jc w:val="both"/>
        <w:rPr>
          <w:rFonts w:eastAsia="Times New Roman" w:cstheme="minorHAnsi"/>
        </w:rPr>
      </w:pPr>
      <w:r w:rsidRPr="009129EF">
        <w:rPr>
          <w:rFonts w:eastAsia="Times New Roman" w:cstheme="minorHAnsi"/>
        </w:rPr>
        <w:t>Processes and analyzes routine licensing and certification m</w:t>
      </w:r>
      <w:r>
        <w:rPr>
          <w:rFonts w:eastAsia="Times New Roman" w:cstheme="minorHAnsi"/>
        </w:rPr>
        <w:t>atters that are filed with PURA, including</w:t>
      </w:r>
      <w:r w:rsidRPr="009129EF">
        <w:rPr>
          <w:rFonts w:eastAsia="Times New Roman" w:cstheme="minorHAnsi"/>
        </w:rPr>
        <w:t> electric/water submetering applications; small cell antenna applications; renewable generator certification requests; supplier licensing applications and reviews; and natural gas seller registrations, among others.</w:t>
      </w:r>
    </w:p>
    <w:p w:rsidR="009129EF" w:rsidRPr="009129EF" w:rsidRDefault="009129EF" w:rsidP="009129EF">
      <w:pPr>
        <w:shd w:val="clear" w:color="auto" w:fill="FEFEFE"/>
        <w:spacing w:after="0" w:line="240" w:lineRule="auto"/>
        <w:jc w:val="both"/>
        <w:rPr>
          <w:rFonts w:eastAsia="Times New Roman" w:cstheme="minorHAnsi"/>
          <w:color w:val="0A0A0A"/>
        </w:rPr>
      </w:pPr>
    </w:p>
    <w:p w:rsidR="009129EF" w:rsidRPr="005E56B4" w:rsidRDefault="009129EF" w:rsidP="004111C5">
      <w:pPr>
        <w:pStyle w:val="Heading2"/>
        <w:rPr>
          <w:rFonts w:eastAsia="Times New Roman"/>
          <w:u w:val="single"/>
        </w:rPr>
      </w:pPr>
      <w:bookmarkStart w:id="9" w:name="_Toc63413927"/>
      <w:r w:rsidRPr="005E56B4">
        <w:rPr>
          <w:rFonts w:eastAsia="Times New Roman"/>
          <w:u w:val="single"/>
        </w:rPr>
        <w:t>Mediation &amp; Enforcement Unit</w:t>
      </w:r>
      <w:bookmarkEnd w:id="9"/>
    </w:p>
    <w:p w:rsidR="009129EF" w:rsidRPr="009129EF" w:rsidRDefault="009129EF" w:rsidP="009129EF">
      <w:pPr>
        <w:numPr>
          <w:ilvl w:val="0"/>
          <w:numId w:val="31"/>
        </w:numPr>
        <w:spacing w:after="0" w:line="240" w:lineRule="auto"/>
        <w:ind w:left="360"/>
        <w:jc w:val="both"/>
        <w:rPr>
          <w:rFonts w:eastAsia="Times New Roman" w:cstheme="minorHAnsi"/>
        </w:rPr>
      </w:pPr>
      <w:r w:rsidRPr="009129EF">
        <w:rPr>
          <w:rFonts w:eastAsia="Times New Roman" w:cstheme="minorHAnsi"/>
        </w:rPr>
        <w:t>Mediates disputes concerning matters related to regulated entities whenever possible or appropriate.</w:t>
      </w:r>
    </w:p>
    <w:p w:rsidR="009129EF" w:rsidRPr="009129EF" w:rsidRDefault="009129EF" w:rsidP="009129EF">
      <w:pPr>
        <w:numPr>
          <w:ilvl w:val="0"/>
          <w:numId w:val="32"/>
        </w:numPr>
        <w:spacing w:after="0" w:line="240" w:lineRule="auto"/>
        <w:ind w:left="360"/>
        <w:jc w:val="both"/>
        <w:rPr>
          <w:rFonts w:eastAsia="Times New Roman" w:cstheme="minorHAnsi"/>
        </w:rPr>
      </w:pPr>
      <w:r w:rsidRPr="009129EF">
        <w:rPr>
          <w:rFonts w:eastAsia="Times New Roman" w:cstheme="minorHAnsi"/>
        </w:rPr>
        <w:t>Enforces orders, regulations and statutes. </w:t>
      </w:r>
    </w:p>
    <w:p w:rsidR="009129EF" w:rsidRPr="009129EF" w:rsidRDefault="009129EF" w:rsidP="009129EF">
      <w:pPr>
        <w:numPr>
          <w:ilvl w:val="0"/>
          <w:numId w:val="32"/>
        </w:numPr>
        <w:spacing w:after="0" w:line="240" w:lineRule="auto"/>
        <w:ind w:left="360"/>
        <w:jc w:val="both"/>
        <w:rPr>
          <w:rFonts w:eastAsia="Times New Roman" w:cstheme="minorHAnsi"/>
        </w:rPr>
      </w:pPr>
      <w:r w:rsidRPr="009129EF">
        <w:rPr>
          <w:rFonts w:eastAsia="Times New Roman" w:cstheme="minorHAnsi"/>
        </w:rPr>
        <w:t>Independently investigates any PURA-regulated or licensed entities.</w:t>
      </w:r>
    </w:p>
    <w:p w:rsidR="009129EF" w:rsidRPr="009129EF" w:rsidRDefault="009129EF" w:rsidP="009129EF">
      <w:pPr>
        <w:shd w:val="clear" w:color="auto" w:fill="FEFEFE"/>
        <w:spacing w:after="0" w:line="240" w:lineRule="auto"/>
        <w:jc w:val="both"/>
        <w:rPr>
          <w:rFonts w:eastAsia="Times New Roman" w:cstheme="minorHAnsi"/>
          <w:color w:val="0A0A0A"/>
        </w:rPr>
      </w:pPr>
    </w:p>
    <w:p w:rsidR="009129EF" w:rsidRPr="009129EF" w:rsidRDefault="009129EF" w:rsidP="004111C5">
      <w:pPr>
        <w:pStyle w:val="Heading2"/>
        <w:rPr>
          <w:rFonts w:eastAsia="Times New Roman" w:cstheme="minorHAnsi"/>
        </w:rPr>
      </w:pPr>
      <w:bookmarkStart w:id="10" w:name="_Toc63413928"/>
      <w:r w:rsidRPr="009129EF">
        <w:rPr>
          <w:rFonts w:eastAsia="Times New Roman" w:cstheme="majorHAnsi"/>
          <w:bCs/>
          <w:color w:val="2E74B5"/>
          <w:u w:val="single"/>
        </w:rPr>
        <w:t>Education</w:t>
      </w:r>
      <w:r w:rsidR="005E56B4">
        <w:rPr>
          <w:rFonts w:eastAsia="Times New Roman" w:cstheme="majorHAnsi"/>
          <w:bCs/>
          <w:color w:val="2E74B5"/>
          <w:u w:val="single"/>
        </w:rPr>
        <w:t xml:space="preserve">, </w:t>
      </w:r>
      <w:r w:rsidRPr="009129EF">
        <w:rPr>
          <w:rFonts w:eastAsia="Times New Roman" w:cstheme="majorHAnsi"/>
          <w:bCs/>
          <w:color w:val="2E74B5"/>
          <w:u w:val="single"/>
        </w:rPr>
        <w:t>Outreach</w:t>
      </w:r>
      <w:r w:rsidR="00EE3696">
        <w:rPr>
          <w:rFonts w:eastAsia="Times New Roman" w:cstheme="majorHAnsi"/>
          <w:bCs/>
          <w:color w:val="2E74B5"/>
          <w:u w:val="single"/>
        </w:rPr>
        <w:t xml:space="preserve"> and Consumer Affairs</w:t>
      </w:r>
      <w:bookmarkEnd w:id="10"/>
    </w:p>
    <w:p w:rsidR="005E56B4" w:rsidRPr="009129EF" w:rsidRDefault="005E56B4" w:rsidP="005E56B4">
      <w:pPr>
        <w:spacing w:after="0" w:line="240" w:lineRule="auto"/>
        <w:jc w:val="both"/>
        <w:rPr>
          <w:rFonts w:eastAsia="Times New Roman" w:cstheme="minorHAnsi"/>
        </w:rPr>
      </w:pPr>
      <w:r>
        <w:rPr>
          <w:rFonts w:eastAsia="Times New Roman" w:cstheme="minorHAnsi"/>
        </w:rPr>
        <w:t>In addition to producing, distributing, and presenting</w:t>
      </w:r>
      <w:r w:rsidR="009129EF" w:rsidRPr="009129EF">
        <w:rPr>
          <w:rFonts w:eastAsia="Times New Roman" w:cstheme="minorHAnsi"/>
        </w:rPr>
        <w:t xml:space="preserve"> educational materials through public forums</w:t>
      </w:r>
      <w:r>
        <w:rPr>
          <w:rFonts w:ascii="Helvetica" w:eastAsia="Times New Roman" w:hAnsi="Helvetica" w:cs="Helvetica"/>
          <w:sz w:val="24"/>
          <w:szCs w:val="24"/>
        </w:rPr>
        <w:t xml:space="preserve">, </w:t>
      </w:r>
      <w:r>
        <w:rPr>
          <w:rFonts w:eastAsia="Times New Roman" w:cstheme="minorHAnsi"/>
        </w:rPr>
        <w:t>EOE r</w:t>
      </w:r>
      <w:r w:rsidRPr="009129EF">
        <w:rPr>
          <w:rFonts w:eastAsia="Times New Roman" w:cstheme="minorHAnsi"/>
        </w:rPr>
        <w:t>eceives Connecticut ratepayer complaints, with a focus on providing timely resolution for complainant and relevant educational materials to assist the complainant.</w:t>
      </w:r>
    </w:p>
    <w:p w:rsidR="009A5CDE" w:rsidRPr="00C22433" w:rsidRDefault="009A5CDE" w:rsidP="00C22433">
      <w:pPr>
        <w:spacing w:after="0" w:line="240" w:lineRule="auto"/>
      </w:pPr>
    </w:p>
    <w:p w:rsidR="009D7D6B" w:rsidRPr="00354C58" w:rsidRDefault="00380A29" w:rsidP="0084689A">
      <w:pPr>
        <w:spacing w:after="0" w:line="240" w:lineRule="auto"/>
        <w:jc w:val="both"/>
      </w:pPr>
      <w:r w:rsidRPr="00354C58">
        <w:t xml:space="preserve">The Consumer Affairs Unit </w:t>
      </w:r>
      <w:r w:rsidR="00755DC0">
        <w:t xml:space="preserve">(CAU) </w:t>
      </w:r>
      <w:r w:rsidRPr="00354C58">
        <w:t>is responsible for handling all customer complaints and inquiries.</w:t>
      </w:r>
      <w:r w:rsidR="006A19BF">
        <w:t xml:space="preserve">  </w:t>
      </w:r>
      <w:r w:rsidRPr="00354C58">
        <w:t>Customer</w:t>
      </w:r>
      <w:r w:rsidR="006A19BF">
        <w:t>s</w:t>
      </w:r>
      <w:r w:rsidRPr="00354C58">
        <w:t xml:space="preserve"> may contact </w:t>
      </w:r>
      <w:r w:rsidR="006A19BF">
        <w:t xml:space="preserve">PURA </w:t>
      </w:r>
      <w:r w:rsidRPr="00354C58">
        <w:t>via telephone, email, letter, walk-in, or web-based complaint form.</w:t>
      </w:r>
      <w:r w:rsidR="006A19BF">
        <w:t xml:space="preserve">  </w:t>
      </w:r>
      <w:r w:rsidR="00375BF9">
        <w:t xml:space="preserve">PURA’s CAU </w:t>
      </w:r>
      <w:r w:rsidRPr="00354C58">
        <w:t xml:space="preserve">handles approximately 18,000 customer contacts per year. </w:t>
      </w:r>
      <w:r w:rsidR="006A19BF">
        <w:t xml:space="preserve"> </w:t>
      </w:r>
      <w:r w:rsidRPr="00354C58">
        <w:t>Approximately 4,00</w:t>
      </w:r>
      <w:r w:rsidR="006A3610">
        <w:t>0 are classified as complaints.</w:t>
      </w:r>
    </w:p>
    <w:p w:rsidR="000F5BD6" w:rsidRDefault="000F5BD6" w:rsidP="00354C58">
      <w:pPr>
        <w:spacing w:after="0" w:line="240" w:lineRule="auto"/>
      </w:pPr>
    </w:p>
    <w:p w:rsidR="009D7D6B" w:rsidRDefault="00915EC2" w:rsidP="009129EF">
      <w:pPr>
        <w:spacing w:after="0" w:line="240" w:lineRule="auto"/>
        <w:jc w:val="both"/>
      </w:pPr>
      <w:r>
        <w:t xml:space="preserve">CAU staff </w:t>
      </w:r>
      <w:r w:rsidR="00F3262A">
        <w:t xml:space="preserve">will </w:t>
      </w:r>
      <w:r>
        <w:t xml:space="preserve">generally </w:t>
      </w:r>
      <w:r w:rsidR="00380A29" w:rsidRPr="00755DC0">
        <w:t>email</w:t>
      </w:r>
      <w:r>
        <w:t xml:space="preserve"> a</w:t>
      </w:r>
      <w:r w:rsidR="00380A29" w:rsidRPr="00755DC0">
        <w:t xml:space="preserve"> customer complaint to </w:t>
      </w:r>
      <w:r>
        <w:t>the supplier’s regulatory contact.</w:t>
      </w:r>
      <w:r w:rsidR="00755DC0">
        <w:t xml:space="preserve">  </w:t>
      </w:r>
      <w:r w:rsidR="00380A29" w:rsidRPr="00755DC0">
        <w:t xml:space="preserve">If the matter is </w:t>
      </w:r>
      <w:r w:rsidR="00755DC0" w:rsidRPr="00755DC0">
        <w:t>urgent,</w:t>
      </w:r>
      <w:r w:rsidR="00380A29" w:rsidRPr="00755DC0">
        <w:t xml:space="preserve"> a CAU representative will </w:t>
      </w:r>
      <w:r>
        <w:t>directly contact the supplier.</w:t>
      </w:r>
      <w:r w:rsidR="00380A29" w:rsidRPr="00755DC0">
        <w:t xml:space="preserve">  </w:t>
      </w:r>
      <w:r>
        <w:t>Suppliers must maintain their contact information (Form 5) to assure PURA has up to date information.</w:t>
      </w:r>
    </w:p>
    <w:p w:rsidR="00915EC2" w:rsidRPr="00755DC0" w:rsidRDefault="00915EC2" w:rsidP="009129EF">
      <w:pPr>
        <w:spacing w:after="0" w:line="240" w:lineRule="auto"/>
        <w:jc w:val="both"/>
      </w:pPr>
    </w:p>
    <w:p w:rsidR="009D7D6B" w:rsidRPr="00755DC0" w:rsidRDefault="00380A29" w:rsidP="009129EF">
      <w:pPr>
        <w:spacing w:after="0" w:line="240" w:lineRule="auto"/>
        <w:jc w:val="both"/>
      </w:pPr>
      <w:r w:rsidRPr="00755DC0">
        <w:lastRenderedPageBreak/>
        <w:t xml:space="preserve">Suppliers must respond to </w:t>
      </w:r>
      <w:r w:rsidR="00915EC2">
        <w:t xml:space="preserve">CAU inquiries within </w:t>
      </w:r>
      <w:r w:rsidR="005E56B4">
        <w:t>three</w:t>
      </w:r>
      <w:r w:rsidRPr="00755DC0">
        <w:t xml:space="preserve"> business days. </w:t>
      </w:r>
      <w:r w:rsidR="00915EC2">
        <w:t xml:space="preserve"> Each response should include:</w:t>
      </w:r>
    </w:p>
    <w:p w:rsidR="009D7D6B" w:rsidRPr="00755DC0" w:rsidRDefault="00380A29" w:rsidP="009129EF">
      <w:pPr>
        <w:pStyle w:val="ListParagraph"/>
        <w:numPr>
          <w:ilvl w:val="0"/>
          <w:numId w:val="24"/>
        </w:numPr>
        <w:spacing w:after="0" w:line="240" w:lineRule="auto"/>
        <w:jc w:val="both"/>
      </w:pPr>
      <w:r w:rsidRPr="00755DC0">
        <w:t>Recording of communication with the customer</w:t>
      </w:r>
    </w:p>
    <w:p w:rsidR="009D7D6B" w:rsidRPr="00755DC0" w:rsidRDefault="00380A29" w:rsidP="009129EF">
      <w:pPr>
        <w:pStyle w:val="ListParagraph"/>
        <w:numPr>
          <w:ilvl w:val="0"/>
          <w:numId w:val="24"/>
        </w:numPr>
        <w:spacing w:after="0" w:line="240" w:lineRule="auto"/>
        <w:jc w:val="both"/>
      </w:pPr>
      <w:r w:rsidRPr="00755DC0">
        <w:t>TPV</w:t>
      </w:r>
    </w:p>
    <w:p w:rsidR="009D7D6B" w:rsidRPr="00755DC0" w:rsidRDefault="00380A29" w:rsidP="009129EF">
      <w:pPr>
        <w:pStyle w:val="ListParagraph"/>
        <w:numPr>
          <w:ilvl w:val="0"/>
          <w:numId w:val="24"/>
        </w:numPr>
        <w:spacing w:after="0" w:line="240" w:lineRule="auto"/>
        <w:jc w:val="both"/>
      </w:pPr>
      <w:r w:rsidRPr="00755DC0">
        <w:t>Copy of the contract</w:t>
      </w:r>
    </w:p>
    <w:p w:rsidR="009D7D6B" w:rsidRPr="00755DC0" w:rsidRDefault="00380A29" w:rsidP="009129EF">
      <w:pPr>
        <w:pStyle w:val="ListParagraph"/>
        <w:numPr>
          <w:ilvl w:val="0"/>
          <w:numId w:val="24"/>
        </w:numPr>
        <w:spacing w:after="0" w:line="240" w:lineRule="auto"/>
        <w:jc w:val="both"/>
      </w:pPr>
      <w:r w:rsidRPr="00755DC0">
        <w:t>Copy of notification letter</w:t>
      </w:r>
    </w:p>
    <w:p w:rsidR="009D7D6B" w:rsidRDefault="00380A29" w:rsidP="009129EF">
      <w:pPr>
        <w:pStyle w:val="ListParagraph"/>
        <w:numPr>
          <w:ilvl w:val="0"/>
          <w:numId w:val="24"/>
        </w:numPr>
        <w:spacing w:after="0" w:line="240" w:lineRule="auto"/>
        <w:jc w:val="both"/>
      </w:pPr>
      <w:r w:rsidRPr="00755DC0">
        <w:t xml:space="preserve">Copy of marketing material </w:t>
      </w:r>
    </w:p>
    <w:p w:rsidR="00E30CD4" w:rsidRPr="009129EF" w:rsidRDefault="0049614E" w:rsidP="00311DB8">
      <w:pPr>
        <w:pStyle w:val="Heading1"/>
        <w:rPr>
          <w:b/>
        </w:rPr>
      </w:pPr>
      <w:bookmarkStart w:id="11" w:name="_Toc63413929"/>
      <w:r w:rsidRPr="009129EF">
        <w:rPr>
          <w:b/>
        </w:rPr>
        <w:t>PURA d</w:t>
      </w:r>
      <w:r w:rsidR="002B57BD" w:rsidRPr="009129EF">
        <w:rPr>
          <w:b/>
        </w:rPr>
        <w:t>ocket numbers</w:t>
      </w:r>
      <w:bookmarkEnd w:id="11"/>
    </w:p>
    <w:p w:rsidR="00E30CD4" w:rsidRDefault="00D72937" w:rsidP="009129EF">
      <w:pPr>
        <w:spacing w:after="0" w:line="240" w:lineRule="auto"/>
        <w:jc w:val="both"/>
      </w:pPr>
      <w:r>
        <w:t>Docket</w:t>
      </w:r>
      <w:r w:rsidR="00E30CD4">
        <w:t xml:space="preserve"> number designate</w:t>
      </w:r>
      <w:r>
        <w:t>s</w:t>
      </w:r>
      <w:r w:rsidR="00E30CD4">
        <w:t xml:space="preserve"> the year, month and the number of the docket opened in that month</w:t>
      </w:r>
    </w:p>
    <w:p w:rsidR="00E30CD4" w:rsidRDefault="00E30CD4" w:rsidP="009129EF">
      <w:pPr>
        <w:pStyle w:val="ListParagraph"/>
        <w:numPr>
          <w:ilvl w:val="0"/>
          <w:numId w:val="26"/>
        </w:numPr>
        <w:jc w:val="both"/>
      </w:pPr>
      <w:r>
        <w:t>Example 98-06-17</w:t>
      </w:r>
    </w:p>
    <w:p w:rsidR="00E30CD4" w:rsidRPr="00E30CD4" w:rsidRDefault="00E30CD4" w:rsidP="009129EF">
      <w:pPr>
        <w:pStyle w:val="ListParagraph"/>
        <w:numPr>
          <w:ilvl w:val="0"/>
          <w:numId w:val="26"/>
        </w:numPr>
        <w:jc w:val="both"/>
      </w:pPr>
      <w:r>
        <w:t xml:space="preserve">98 – Docket was opened in </w:t>
      </w:r>
      <w:r w:rsidRPr="00E30CD4">
        <w:t>1998</w:t>
      </w:r>
    </w:p>
    <w:p w:rsidR="00E30CD4" w:rsidRPr="00E30CD4" w:rsidRDefault="00E30CD4" w:rsidP="009129EF">
      <w:pPr>
        <w:pStyle w:val="ListParagraph"/>
        <w:numPr>
          <w:ilvl w:val="0"/>
          <w:numId w:val="26"/>
        </w:numPr>
        <w:jc w:val="both"/>
      </w:pPr>
      <w:r w:rsidRPr="00E30CD4">
        <w:t>06 - Opened in June</w:t>
      </w:r>
    </w:p>
    <w:p w:rsidR="00E30CD4" w:rsidRDefault="00E30CD4" w:rsidP="009129EF">
      <w:pPr>
        <w:pStyle w:val="ListParagraph"/>
        <w:numPr>
          <w:ilvl w:val="0"/>
          <w:numId w:val="26"/>
        </w:numPr>
        <w:jc w:val="both"/>
      </w:pPr>
      <w:r>
        <w:t xml:space="preserve">17 - </w:t>
      </w:r>
      <w:r w:rsidR="00D72937">
        <w:t>T</w:t>
      </w:r>
      <w:r>
        <w:t>he 17</w:t>
      </w:r>
      <w:r w:rsidRPr="00E30CD4">
        <w:rPr>
          <w:vertAlign w:val="superscript"/>
        </w:rPr>
        <w:t>th</w:t>
      </w:r>
      <w:r>
        <w:t xml:space="preserve"> docket opened in </w:t>
      </w:r>
      <w:r w:rsidR="00D72937">
        <w:t xml:space="preserve">that month. </w:t>
      </w:r>
      <w:r w:rsidR="00D63774">
        <w:t>This number will r</w:t>
      </w:r>
      <w:r w:rsidR="00D72937">
        <w:t>e</w:t>
      </w:r>
      <w:r>
        <w:t xml:space="preserve">set </w:t>
      </w:r>
      <w:r w:rsidR="00D72937">
        <w:t>to</w:t>
      </w:r>
      <w:r>
        <w:t xml:space="preserve"> 01 </w:t>
      </w:r>
      <w:r w:rsidR="00D63774">
        <w:t>for</w:t>
      </w:r>
      <w:r w:rsidR="00D72937">
        <w:t xml:space="preserve"> </w:t>
      </w:r>
      <w:r>
        <w:t>the next mont</w:t>
      </w:r>
      <w:r w:rsidR="00660E74">
        <w:t>h</w:t>
      </w:r>
    </w:p>
    <w:p w:rsidR="009129EF" w:rsidRDefault="00660E74" w:rsidP="009129EF">
      <w:pPr>
        <w:pStyle w:val="ListParagraph"/>
        <w:numPr>
          <w:ilvl w:val="0"/>
          <w:numId w:val="26"/>
        </w:numPr>
        <w:jc w:val="both"/>
      </w:pPr>
      <w:r>
        <w:t xml:space="preserve">RE01 – Appears at the end of the docket number to designate a reopening of the original docket and </w:t>
      </w:r>
      <w:r w:rsidR="00124041">
        <w:t xml:space="preserve">shows </w:t>
      </w:r>
      <w:r>
        <w:t>the number of the reopening – ‘</w:t>
      </w:r>
      <w:r w:rsidR="00B457AB">
        <w:t>RE</w:t>
      </w:r>
      <w:r>
        <w:t>01’ is the first reopenin</w:t>
      </w:r>
      <w:r w:rsidR="00124041">
        <w:t>g</w:t>
      </w:r>
      <w:r>
        <w:t xml:space="preserve"> </w:t>
      </w:r>
      <w:r w:rsidR="009653F2">
        <w:t>‘</w:t>
      </w:r>
      <w:r w:rsidR="00B457AB">
        <w:t>RE</w:t>
      </w:r>
      <w:r>
        <w:t>02</w:t>
      </w:r>
      <w:r w:rsidR="009653F2">
        <w:t>’</w:t>
      </w:r>
      <w:r>
        <w:t xml:space="preserve"> the second, etc.</w:t>
      </w:r>
    </w:p>
    <w:p w:rsidR="009A3646" w:rsidRPr="009129EF" w:rsidRDefault="00B72D4F" w:rsidP="00B72D4F">
      <w:pPr>
        <w:pStyle w:val="Heading1"/>
        <w:rPr>
          <w:b/>
        </w:rPr>
      </w:pPr>
      <w:bookmarkStart w:id="12" w:name="_Toc63413930"/>
      <w:r w:rsidRPr="009129EF">
        <w:rPr>
          <w:b/>
        </w:rPr>
        <w:t>Supplier-Related Decisions</w:t>
      </w:r>
      <w:bookmarkEnd w:id="12"/>
    </w:p>
    <w:p w:rsidR="0016308A" w:rsidRPr="0016308A" w:rsidRDefault="0016308A" w:rsidP="0016308A">
      <w:pPr>
        <w:keepNext/>
        <w:keepLines/>
        <w:spacing w:before="40" w:after="0"/>
        <w:outlineLvl w:val="1"/>
        <w:rPr>
          <w:rFonts w:asciiTheme="majorHAnsi" w:eastAsiaTheme="majorEastAsia" w:hAnsiTheme="majorHAnsi" w:cstheme="majorBidi"/>
          <w:color w:val="2E74B5" w:themeColor="accent1" w:themeShade="BF"/>
          <w:sz w:val="26"/>
          <w:szCs w:val="26"/>
        </w:rPr>
      </w:pPr>
      <w:bookmarkStart w:id="13" w:name="_Toc63413931"/>
      <w:r w:rsidRPr="0016308A">
        <w:rPr>
          <w:rFonts w:asciiTheme="majorHAnsi" w:eastAsiaTheme="majorEastAsia" w:hAnsiTheme="majorHAnsi" w:cstheme="majorBidi"/>
          <w:color w:val="2E74B5" w:themeColor="accent1" w:themeShade="BF"/>
          <w:sz w:val="26"/>
          <w:szCs w:val="26"/>
        </w:rPr>
        <w:t xml:space="preserve">98-01-02RE0 </w:t>
      </w:r>
      <w:r w:rsidR="003D03E7">
        <w:rPr>
          <w:rFonts w:asciiTheme="majorHAnsi" w:eastAsiaTheme="majorEastAsia" w:hAnsiTheme="majorHAnsi" w:cstheme="majorBidi"/>
          <w:color w:val="2E74B5" w:themeColor="accent1" w:themeShade="BF"/>
          <w:sz w:val="26"/>
          <w:szCs w:val="26"/>
        </w:rPr>
        <w:t>-</w:t>
      </w:r>
      <w:r w:rsidRPr="0016308A">
        <w:rPr>
          <w:rFonts w:asciiTheme="majorHAnsi" w:eastAsiaTheme="majorEastAsia" w:hAnsiTheme="majorHAnsi" w:cstheme="majorBidi"/>
          <w:color w:val="2E74B5" w:themeColor="accent1" w:themeShade="BF"/>
          <w:sz w:val="26"/>
          <w:szCs w:val="26"/>
        </w:rPr>
        <w:t xml:space="preserve"> CL&amp;P and 92-06-05 </w:t>
      </w:r>
      <w:r w:rsidR="003D03E7">
        <w:rPr>
          <w:rFonts w:asciiTheme="majorHAnsi" w:eastAsiaTheme="majorEastAsia" w:hAnsiTheme="majorHAnsi" w:cstheme="majorBidi"/>
          <w:color w:val="2E74B5" w:themeColor="accent1" w:themeShade="BF"/>
          <w:sz w:val="26"/>
          <w:szCs w:val="26"/>
        </w:rPr>
        <w:t>-</w:t>
      </w:r>
      <w:r w:rsidRPr="0016308A">
        <w:rPr>
          <w:rFonts w:asciiTheme="majorHAnsi" w:eastAsiaTheme="majorEastAsia" w:hAnsiTheme="majorHAnsi" w:cstheme="majorBidi"/>
          <w:color w:val="2E74B5" w:themeColor="accent1" w:themeShade="BF"/>
          <w:sz w:val="26"/>
          <w:szCs w:val="26"/>
        </w:rPr>
        <w:t xml:space="preserve"> UI – Joint Decision</w:t>
      </w:r>
      <w:bookmarkEnd w:id="13"/>
    </w:p>
    <w:p w:rsidR="0016308A" w:rsidRPr="0016308A" w:rsidRDefault="0016308A" w:rsidP="0016308A">
      <w:pPr>
        <w:spacing w:after="0" w:line="240" w:lineRule="auto"/>
        <w:rPr>
          <w:b/>
        </w:rPr>
      </w:pPr>
      <w:r w:rsidRPr="0016308A">
        <w:rPr>
          <w:b/>
        </w:rPr>
        <w:t>DPUC Review of The Connecticut Light and Power Company’s Rates and Charges – Electric Restructuring Rates and Tariffs</w:t>
      </w:r>
      <w:r w:rsidR="00E96C49">
        <w:rPr>
          <w:b/>
        </w:rPr>
        <w:t>; and,</w:t>
      </w:r>
    </w:p>
    <w:p w:rsidR="0016308A" w:rsidRPr="0016308A" w:rsidRDefault="0016308A" w:rsidP="0016308A">
      <w:pPr>
        <w:spacing w:after="0" w:line="240" w:lineRule="auto"/>
        <w:rPr>
          <w:b/>
        </w:rPr>
      </w:pPr>
      <w:r w:rsidRPr="0016308A">
        <w:rPr>
          <w:b/>
        </w:rPr>
        <w:t>Application of the United Illuminating Company for an Increase in Rates</w:t>
      </w:r>
      <w:r w:rsidRPr="0016308A">
        <w:rPr>
          <w:b/>
        </w:rPr>
        <w:noBreakHyphen/>
        <w:t> </w:t>
      </w:r>
      <w:r w:rsidRPr="0016308A">
        <w:rPr>
          <w:b/>
        </w:rPr>
        <w:noBreakHyphen/>
        <w:t>Electric Restructuring Rates and Tariffs</w:t>
      </w:r>
    </w:p>
    <w:p w:rsidR="0016308A" w:rsidRPr="0016308A" w:rsidRDefault="0016308A" w:rsidP="0016308A">
      <w:pPr>
        <w:spacing w:after="0" w:line="240" w:lineRule="auto"/>
      </w:pPr>
    </w:p>
    <w:p w:rsidR="0016308A" w:rsidRPr="0016308A" w:rsidRDefault="0016308A" w:rsidP="0016308A">
      <w:pPr>
        <w:numPr>
          <w:ilvl w:val="0"/>
          <w:numId w:val="2"/>
        </w:numPr>
        <w:spacing w:after="0" w:line="240" w:lineRule="auto"/>
        <w:contextualSpacing/>
      </w:pPr>
      <w:r w:rsidRPr="0016308A">
        <w:t>Decision dated January 12, 2000</w:t>
      </w:r>
    </w:p>
    <w:p w:rsidR="0016308A" w:rsidRPr="0016308A" w:rsidRDefault="0016308A" w:rsidP="0016308A">
      <w:pPr>
        <w:numPr>
          <w:ilvl w:val="0"/>
          <w:numId w:val="2"/>
        </w:numPr>
        <w:contextualSpacing/>
      </w:pPr>
      <w:r w:rsidRPr="0016308A">
        <w:t>Required to implement retail choice</w:t>
      </w:r>
    </w:p>
    <w:p w:rsidR="0016308A" w:rsidRPr="0016308A" w:rsidRDefault="0016308A" w:rsidP="0016308A">
      <w:pPr>
        <w:numPr>
          <w:ilvl w:val="0"/>
          <w:numId w:val="2"/>
        </w:numPr>
        <w:contextualSpacing/>
      </w:pPr>
      <w:r w:rsidRPr="0016308A">
        <w:t>Established CL&amp;P and UI’s initial tariffs for supplier fees and costs</w:t>
      </w:r>
    </w:p>
    <w:p w:rsidR="009129EF" w:rsidRPr="0016308A" w:rsidRDefault="009129EF" w:rsidP="0016308A">
      <w:pPr>
        <w:spacing w:after="0" w:line="240" w:lineRule="auto"/>
      </w:pPr>
    </w:p>
    <w:p w:rsidR="0016308A" w:rsidRPr="0016308A" w:rsidRDefault="0016308A" w:rsidP="0016308A">
      <w:pPr>
        <w:keepNext/>
        <w:keepLines/>
        <w:spacing w:before="40" w:after="0"/>
        <w:outlineLvl w:val="1"/>
        <w:rPr>
          <w:rFonts w:asciiTheme="majorHAnsi" w:eastAsiaTheme="majorEastAsia" w:hAnsiTheme="majorHAnsi" w:cstheme="majorBidi"/>
          <w:color w:val="2E74B5" w:themeColor="accent1" w:themeShade="BF"/>
          <w:sz w:val="26"/>
          <w:szCs w:val="26"/>
        </w:rPr>
      </w:pPr>
      <w:bookmarkStart w:id="14" w:name="_Toc63413932"/>
      <w:r w:rsidRPr="0016308A">
        <w:rPr>
          <w:rFonts w:asciiTheme="majorHAnsi" w:eastAsiaTheme="majorEastAsia" w:hAnsiTheme="majorHAnsi" w:cstheme="majorBidi"/>
          <w:color w:val="2E74B5" w:themeColor="accent1" w:themeShade="BF"/>
          <w:sz w:val="26"/>
          <w:szCs w:val="26"/>
        </w:rPr>
        <w:t>98-01-02RE03</w:t>
      </w:r>
      <w:bookmarkEnd w:id="14"/>
    </w:p>
    <w:p w:rsidR="0016308A" w:rsidRPr="0016308A" w:rsidRDefault="0016308A" w:rsidP="0016308A">
      <w:pPr>
        <w:spacing w:after="0" w:line="240" w:lineRule="auto"/>
        <w:rPr>
          <w:b/>
        </w:rPr>
      </w:pPr>
      <w:r w:rsidRPr="0016308A">
        <w:rPr>
          <w:b/>
        </w:rPr>
        <w:t>DPUC Review of The Connecticut Light and Power Company’s Rates and Charges – Electric Restructuring Rates and Tariffs</w:t>
      </w:r>
    </w:p>
    <w:p w:rsidR="0016308A" w:rsidRPr="0016308A" w:rsidRDefault="0016308A" w:rsidP="0016308A">
      <w:pPr>
        <w:spacing w:after="0" w:line="240" w:lineRule="auto"/>
      </w:pPr>
    </w:p>
    <w:p w:rsidR="0016308A" w:rsidRPr="0016308A" w:rsidRDefault="0016308A" w:rsidP="0016308A">
      <w:pPr>
        <w:numPr>
          <w:ilvl w:val="0"/>
          <w:numId w:val="2"/>
        </w:numPr>
        <w:spacing w:after="0" w:line="240" w:lineRule="auto"/>
        <w:contextualSpacing/>
      </w:pPr>
      <w:r w:rsidRPr="0016308A">
        <w:t>Decision dated February 16, 2007</w:t>
      </w:r>
    </w:p>
    <w:p w:rsidR="0016308A" w:rsidRPr="0016308A" w:rsidRDefault="0016308A" w:rsidP="0016308A">
      <w:pPr>
        <w:numPr>
          <w:ilvl w:val="0"/>
          <w:numId w:val="2"/>
        </w:numPr>
        <w:contextualSpacing/>
      </w:pPr>
      <w:r w:rsidRPr="0016308A">
        <w:t>Required to implement retail choice</w:t>
      </w:r>
    </w:p>
    <w:p w:rsidR="0016308A" w:rsidRPr="0016308A" w:rsidRDefault="0016308A" w:rsidP="0016308A">
      <w:pPr>
        <w:numPr>
          <w:ilvl w:val="0"/>
          <w:numId w:val="2"/>
        </w:numPr>
        <w:contextualSpacing/>
      </w:pPr>
      <w:r w:rsidRPr="0016308A">
        <w:t>Established CL&amp;P’s costs to provide some supplier services; e.g. processing a change in supplier.</w:t>
      </w:r>
    </w:p>
    <w:p w:rsidR="0016308A" w:rsidRPr="0016308A" w:rsidRDefault="0016308A" w:rsidP="0016308A">
      <w:pPr>
        <w:spacing w:after="0" w:line="240" w:lineRule="auto"/>
      </w:pPr>
    </w:p>
    <w:p w:rsidR="0016308A" w:rsidRPr="0016308A" w:rsidRDefault="0016308A" w:rsidP="0016308A">
      <w:pPr>
        <w:keepNext/>
        <w:keepLines/>
        <w:spacing w:before="40" w:after="0"/>
        <w:outlineLvl w:val="1"/>
        <w:rPr>
          <w:rFonts w:asciiTheme="majorHAnsi" w:eastAsiaTheme="majorEastAsia" w:hAnsiTheme="majorHAnsi" w:cstheme="majorBidi"/>
          <w:color w:val="2E74B5" w:themeColor="accent1" w:themeShade="BF"/>
          <w:sz w:val="26"/>
          <w:szCs w:val="26"/>
        </w:rPr>
      </w:pPr>
      <w:bookmarkStart w:id="15" w:name="_Toc63413933"/>
      <w:r w:rsidRPr="0016308A">
        <w:rPr>
          <w:rFonts w:asciiTheme="majorHAnsi" w:eastAsiaTheme="majorEastAsia" w:hAnsiTheme="majorHAnsi" w:cstheme="majorBidi"/>
          <w:color w:val="2E74B5" w:themeColor="accent1" w:themeShade="BF"/>
          <w:sz w:val="26"/>
          <w:szCs w:val="26"/>
        </w:rPr>
        <w:t>99-03-35</w:t>
      </w:r>
      <w:bookmarkEnd w:id="15"/>
    </w:p>
    <w:p w:rsidR="0016308A" w:rsidRPr="0016308A" w:rsidRDefault="0016308A" w:rsidP="0016308A">
      <w:pPr>
        <w:spacing w:after="0" w:line="240" w:lineRule="auto"/>
        <w:rPr>
          <w:b/>
        </w:rPr>
      </w:pPr>
      <w:r w:rsidRPr="0016308A">
        <w:rPr>
          <w:b/>
        </w:rPr>
        <w:t xml:space="preserve">DPUC Determination of </w:t>
      </w:r>
      <w:proofErr w:type="gramStart"/>
      <w:r w:rsidRPr="0016308A">
        <w:rPr>
          <w:b/>
        </w:rPr>
        <w:t>The</w:t>
      </w:r>
      <w:proofErr w:type="gramEnd"/>
      <w:r w:rsidRPr="0016308A">
        <w:rPr>
          <w:b/>
        </w:rPr>
        <w:t xml:space="preserve"> United Illuminating Company’s Standard Offer</w:t>
      </w:r>
    </w:p>
    <w:p w:rsidR="0016308A" w:rsidRPr="0016308A" w:rsidRDefault="0016308A" w:rsidP="0016308A">
      <w:pPr>
        <w:spacing w:after="0" w:line="240" w:lineRule="auto"/>
      </w:pPr>
    </w:p>
    <w:p w:rsidR="0016308A" w:rsidRPr="0016308A" w:rsidRDefault="0016308A" w:rsidP="0016308A">
      <w:pPr>
        <w:numPr>
          <w:ilvl w:val="0"/>
          <w:numId w:val="2"/>
        </w:numPr>
        <w:spacing w:after="0" w:line="240" w:lineRule="auto"/>
        <w:contextualSpacing/>
      </w:pPr>
      <w:r w:rsidRPr="0016308A">
        <w:t>Decision dated October 1, 1999</w:t>
      </w:r>
    </w:p>
    <w:p w:rsidR="0016308A" w:rsidRPr="0016308A" w:rsidRDefault="0016308A" w:rsidP="0016308A">
      <w:pPr>
        <w:numPr>
          <w:ilvl w:val="0"/>
          <w:numId w:val="2"/>
        </w:numPr>
        <w:contextualSpacing/>
      </w:pPr>
      <w:r w:rsidRPr="0016308A">
        <w:t>Required to implement retail choice</w:t>
      </w:r>
    </w:p>
    <w:p w:rsidR="0016308A" w:rsidRPr="0016308A" w:rsidRDefault="0016308A" w:rsidP="0016308A">
      <w:pPr>
        <w:spacing w:after="0" w:line="240" w:lineRule="auto"/>
      </w:pPr>
    </w:p>
    <w:p w:rsidR="00B33760" w:rsidRDefault="00E30CD4" w:rsidP="001C79F8">
      <w:pPr>
        <w:pStyle w:val="Heading2"/>
      </w:pPr>
      <w:bookmarkStart w:id="16" w:name="_Toc63413934"/>
      <w:r w:rsidRPr="00B33760">
        <w:lastRenderedPageBreak/>
        <w:t>98-06-17</w:t>
      </w:r>
      <w:bookmarkEnd w:id="16"/>
    </w:p>
    <w:p w:rsidR="008C4C47" w:rsidRPr="00651F6E" w:rsidRDefault="00E30CD4" w:rsidP="001B731E">
      <w:pPr>
        <w:spacing w:after="0" w:line="240" w:lineRule="auto"/>
      </w:pPr>
      <w:r w:rsidRPr="00B33760">
        <w:rPr>
          <w:b/>
        </w:rPr>
        <w:t xml:space="preserve">DPUC Investigation </w:t>
      </w:r>
      <w:proofErr w:type="gramStart"/>
      <w:r w:rsidRPr="00B33760">
        <w:rPr>
          <w:b/>
        </w:rPr>
        <w:t>Into</w:t>
      </w:r>
      <w:proofErr w:type="gramEnd"/>
      <w:r w:rsidRPr="00B33760">
        <w:rPr>
          <w:b/>
        </w:rPr>
        <w:t xml:space="preserve"> Billing and Metering Protocols and Appropriate Cost</w:t>
      </w:r>
      <w:r w:rsidRPr="00B33760">
        <w:rPr>
          <w:b/>
        </w:rPr>
        <w:noBreakHyphen/>
        <w:t>Sharing Allocations Among Electric Distribution Companies and Electric Suppliers</w:t>
      </w:r>
    </w:p>
    <w:p w:rsidR="00F2241F" w:rsidRDefault="00F2241F" w:rsidP="001B731E">
      <w:pPr>
        <w:spacing w:after="0" w:line="240" w:lineRule="auto"/>
      </w:pPr>
    </w:p>
    <w:p w:rsidR="00963CAC" w:rsidRPr="009A3646" w:rsidRDefault="00963CAC" w:rsidP="00963CAC">
      <w:pPr>
        <w:pStyle w:val="ListParagraph"/>
        <w:numPr>
          <w:ilvl w:val="0"/>
          <w:numId w:val="2"/>
        </w:numPr>
        <w:spacing w:after="0" w:line="240" w:lineRule="auto"/>
      </w:pPr>
      <w:r w:rsidRPr="009A3646">
        <w:t>Decision dated January 13, 1999</w:t>
      </w:r>
    </w:p>
    <w:p w:rsidR="00E30CD4" w:rsidRDefault="003A10EE" w:rsidP="00E30CD4">
      <w:pPr>
        <w:pStyle w:val="ListParagraph"/>
        <w:numPr>
          <w:ilvl w:val="0"/>
          <w:numId w:val="2"/>
        </w:numPr>
      </w:pPr>
      <w:r>
        <w:t>Required to implement</w:t>
      </w:r>
      <w:r w:rsidR="008177C7">
        <w:t xml:space="preserve"> retail choice</w:t>
      </w:r>
    </w:p>
    <w:p w:rsidR="008177C7" w:rsidRDefault="003A10EE" w:rsidP="00E30CD4">
      <w:pPr>
        <w:pStyle w:val="ListParagraph"/>
        <w:numPr>
          <w:ilvl w:val="0"/>
          <w:numId w:val="2"/>
        </w:numPr>
      </w:pPr>
      <w:r>
        <w:t>Reviewed</w:t>
      </w:r>
      <w:r w:rsidR="00F2241F">
        <w:t>:</w:t>
      </w:r>
    </w:p>
    <w:p w:rsidR="003A10EE" w:rsidRDefault="008177C7" w:rsidP="008177C7">
      <w:pPr>
        <w:pStyle w:val="ListParagraph"/>
        <w:numPr>
          <w:ilvl w:val="0"/>
          <w:numId w:val="3"/>
        </w:numPr>
        <w:ind w:left="1080"/>
      </w:pPr>
      <w:r>
        <w:t>C</w:t>
      </w:r>
      <w:r w:rsidR="003A10EE">
        <w:t>ost allocation of</w:t>
      </w:r>
      <w:r>
        <w:t xml:space="preserve"> distribution functions</w:t>
      </w:r>
    </w:p>
    <w:p w:rsidR="00F2241F" w:rsidRDefault="00F2241F" w:rsidP="008177C7">
      <w:pPr>
        <w:pStyle w:val="ListParagraph"/>
        <w:numPr>
          <w:ilvl w:val="0"/>
          <w:numId w:val="3"/>
        </w:numPr>
        <w:ind w:left="1080"/>
      </w:pPr>
      <w:r>
        <w:t>Cost for supplier</w:t>
      </w:r>
      <w:r>
        <w:noBreakHyphen/>
        <w:t>related services</w:t>
      </w:r>
    </w:p>
    <w:p w:rsidR="008177C7" w:rsidRDefault="00F2241F" w:rsidP="008177C7">
      <w:pPr>
        <w:pStyle w:val="ListParagraph"/>
        <w:numPr>
          <w:ilvl w:val="0"/>
          <w:numId w:val="3"/>
        </w:numPr>
        <w:ind w:left="1080"/>
      </w:pPr>
      <w:r>
        <w:t>Billing and m</w:t>
      </w:r>
      <w:r w:rsidR="008177C7">
        <w:t>etering protocols</w:t>
      </w:r>
    </w:p>
    <w:p w:rsidR="00F2241F" w:rsidRDefault="00F2241F" w:rsidP="00F2241F">
      <w:pPr>
        <w:pStyle w:val="ListParagraph"/>
        <w:numPr>
          <w:ilvl w:val="0"/>
          <w:numId w:val="4"/>
        </w:numPr>
      </w:pPr>
      <w:r>
        <w:t>Established the EBT Working Group</w:t>
      </w:r>
    </w:p>
    <w:p w:rsidR="00F2241F" w:rsidRDefault="00F2241F" w:rsidP="00F2241F">
      <w:pPr>
        <w:pStyle w:val="ListParagraph"/>
        <w:numPr>
          <w:ilvl w:val="0"/>
          <w:numId w:val="4"/>
        </w:numPr>
      </w:pPr>
      <w:r>
        <w:t xml:space="preserve">Finalized the initial electronic data exchange (EDE) </w:t>
      </w:r>
      <w:r w:rsidR="009A3499">
        <w:t>G</w:t>
      </w:r>
      <w:r>
        <w:t>uidelines</w:t>
      </w:r>
    </w:p>
    <w:p w:rsidR="009516C6" w:rsidRDefault="00BB1996" w:rsidP="00F2241F">
      <w:pPr>
        <w:pStyle w:val="ListParagraph"/>
        <w:numPr>
          <w:ilvl w:val="0"/>
          <w:numId w:val="4"/>
        </w:numPr>
      </w:pPr>
      <w:r>
        <w:t>Serves as the p</w:t>
      </w:r>
      <w:r w:rsidR="009516C6">
        <w:t xml:space="preserve">latform for updating </w:t>
      </w:r>
      <w:r w:rsidR="009A3499">
        <w:t xml:space="preserve">the </w:t>
      </w:r>
      <w:r w:rsidR="009516C6">
        <w:t xml:space="preserve">EDE </w:t>
      </w:r>
      <w:r w:rsidR="00737F84">
        <w:t>Guidelines</w:t>
      </w:r>
    </w:p>
    <w:p w:rsidR="00F83855" w:rsidRDefault="00FC61CA" w:rsidP="00F83855">
      <w:pPr>
        <w:pStyle w:val="ListParagraph"/>
        <w:numPr>
          <w:ilvl w:val="0"/>
          <w:numId w:val="4"/>
        </w:numPr>
        <w:spacing w:after="0" w:line="240" w:lineRule="auto"/>
      </w:pPr>
      <w:r>
        <w:t xml:space="preserve">Supplier </w:t>
      </w:r>
      <w:r w:rsidR="00F83855">
        <w:t xml:space="preserve">service rates are contained in the EDC tariffs.  </w:t>
      </w:r>
      <w:hyperlink r:id="rId11" w:history="1">
        <w:r w:rsidR="00F83855" w:rsidRPr="0041264B">
          <w:rPr>
            <w:rStyle w:val="Hyperlink"/>
          </w:rPr>
          <w:t>Eversource</w:t>
        </w:r>
      </w:hyperlink>
      <w:r w:rsidR="00F83855">
        <w:t xml:space="preserve"> - </w:t>
      </w:r>
      <w:hyperlink r:id="rId12" w:history="1">
        <w:r w:rsidR="00F83855" w:rsidRPr="00D30AC0">
          <w:rPr>
            <w:rStyle w:val="Hyperlink"/>
          </w:rPr>
          <w:t>United Illuminating</w:t>
        </w:r>
      </w:hyperlink>
    </w:p>
    <w:p w:rsidR="00FC61CA" w:rsidRDefault="00FC61CA" w:rsidP="00FC61CA">
      <w:pPr>
        <w:spacing w:after="0" w:line="240" w:lineRule="auto"/>
      </w:pPr>
    </w:p>
    <w:p w:rsidR="00660E74" w:rsidRPr="00EB1CF3" w:rsidRDefault="00660E74" w:rsidP="001C79F8">
      <w:pPr>
        <w:pStyle w:val="Heading2"/>
      </w:pPr>
      <w:bookmarkStart w:id="17" w:name="_Toc63413935"/>
      <w:r w:rsidRPr="00EB1CF3">
        <w:t>05-08-02RE02</w:t>
      </w:r>
      <w:bookmarkEnd w:id="17"/>
    </w:p>
    <w:p w:rsidR="00EB1CF3" w:rsidRPr="00EB1CF3" w:rsidRDefault="00EB1CF3" w:rsidP="00737F84">
      <w:pPr>
        <w:spacing w:after="0" w:line="240" w:lineRule="auto"/>
        <w:rPr>
          <w:b/>
        </w:rPr>
      </w:pPr>
      <w:r w:rsidRPr="00EB1CF3">
        <w:rPr>
          <w:b/>
        </w:rPr>
        <w:t xml:space="preserve">DPUC Investigation </w:t>
      </w:r>
      <w:proofErr w:type="gramStart"/>
      <w:r w:rsidRPr="00EB1CF3">
        <w:rPr>
          <w:b/>
        </w:rPr>
        <w:t>Into</w:t>
      </w:r>
      <w:proofErr w:type="gramEnd"/>
      <w:r w:rsidRPr="00EB1CF3">
        <w:rPr>
          <w:b/>
        </w:rPr>
        <w:t xml:space="preserve"> The Process By Which Customers Can Choose An Electric Supplier When Initiating Electric Service – Amended Referral Program</w:t>
      </w:r>
    </w:p>
    <w:p w:rsidR="00EB1CF3" w:rsidRDefault="00EB1CF3" w:rsidP="00737F84">
      <w:pPr>
        <w:spacing w:after="0" w:line="240" w:lineRule="auto"/>
      </w:pPr>
    </w:p>
    <w:p w:rsidR="00096C72" w:rsidRDefault="00096C72" w:rsidP="00096C72">
      <w:pPr>
        <w:pStyle w:val="ListParagraph"/>
        <w:numPr>
          <w:ilvl w:val="0"/>
          <w:numId w:val="2"/>
        </w:numPr>
      </w:pPr>
      <w:r>
        <w:t>Decision dated October 10, 2007</w:t>
      </w:r>
    </w:p>
    <w:p w:rsidR="005C51E8" w:rsidRDefault="005C51E8" w:rsidP="00096C72">
      <w:pPr>
        <w:pStyle w:val="ListParagraph"/>
        <w:numPr>
          <w:ilvl w:val="0"/>
          <w:numId w:val="2"/>
        </w:numPr>
      </w:pPr>
      <w:r>
        <w:t xml:space="preserve">Finalized the </w:t>
      </w:r>
      <w:r w:rsidR="00E85F51">
        <w:t>‘</w:t>
      </w:r>
      <w:r>
        <w:t>Referral Program</w:t>
      </w:r>
      <w:r w:rsidR="00E85F51">
        <w:t>’</w:t>
      </w:r>
    </w:p>
    <w:p w:rsidR="005C51E8" w:rsidRDefault="005C51E8" w:rsidP="005C51E8">
      <w:pPr>
        <w:pStyle w:val="ListParagraph"/>
        <w:numPr>
          <w:ilvl w:val="0"/>
          <w:numId w:val="8"/>
        </w:numPr>
        <w:ind w:left="1080"/>
      </w:pPr>
      <w:r>
        <w:t>Program intended to expand retail choice</w:t>
      </w:r>
    </w:p>
    <w:p w:rsidR="005C51E8" w:rsidRDefault="005C51E8" w:rsidP="005C51E8">
      <w:pPr>
        <w:pStyle w:val="ListParagraph"/>
        <w:numPr>
          <w:ilvl w:val="0"/>
          <w:numId w:val="8"/>
        </w:numPr>
        <w:ind w:left="1080"/>
      </w:pPr>
      <w:r>
        <w:t>One-year fixed price option</w:t>
      </w:r>
      <w:r w:rsidR="00760660">
        <w:t xml:space="preserve">, no </w:t>
      </w:r>
      <w:r>
        <w:t>cancellation fee or other penalties</w:t>
      </w:r>
    </w:p>
    <w:p w:rsidR="00760660" w:rsidRDefault="00760660" w:rsidP="005C51E8">
      <w:pPr>
        <w:pStyle w:val="ListParagraph"/>
        <w:numPr>
          <w:ilvl w:val="0"/>
          <w:numId w:val="8"/>
        </w:numPr>
        <w:ind w:left="1080"/>
      </w:pPr>
      <w:r>
        <w:t xml:space="preserve">Price plans under the program called </w:t>
      </w:r>
      <w:r w:rsidR="005C51E8">
        <w:t>‘Qualifying Offers’</w:t>
      </w:r>
    </w:p>
    <w:p w:rsidR="005C51E8" w:rsidRDefault="00760660" w:rsidP="005C51E8">
      <w:pPr>
        <w:pStyle w:val="ListParagraph"/>
        <w:numPr>
          <w:ilvl w:val="0"/>
          <w:numId w:val="8"/>
        </w:numPr>
        <w:ind w:left="1080"/>
      </w:pPr>
      <w:r>
        <w:t>Qualifying Offers were subject to separate rules</w:t>
      </w:r>
    </w:p>
    <w:p w:rsidR="00E85F51" w:rsidRDefault="00E85F51" w:rsidP="005C51E8">
      <w:pPr>
        <w:pStyle w:val="ListParagraph"/>
        <w:numPr>
          <w:ilvl w:val="0"/>
          <w:numId w:val="8"/>
        </w:numPr>
        <w:ind w:left="1080"/>
      </w:pPr>
      <w:r>
        <w:t>March 2011 – Referral Program had achieved its goal</w:t>
      </w:r>
    </w:p>
    <w:p w:rsidR="005C51E8" w:rsidRDefault="001F77BE" w:rsidP="00096C72">
      <w:pPr>
        <w:pStyle w:val="ListParagraph"/>
        <w:numPr>
          <w:ilvl w:val="0"/>
          <w:numId w:val="2"/>
        </w:numPr>
      </w:pPr>
      <w:r>
        <w:t>Eliminated the ‘Anti-Gaming’ switching policy</w:t>
      </w:r>
    </w:p>
    <w:p w:rsidR="009129EF" w:rsidRDefault="009E78AD" w:rsidP="009129EF">
      <w:pPr>
        <w:pStyle w:val="ListParagraph"/>
        <w:numPr>
          <w:ilvl w:val="0"/>
          <w:numId w:val="2"/>
        </w:numPr>
      </w:pPr>
      <w:r>
        <w:t xml:space="preserve">Implemented </w:t>
      </w:r>
      <w:r w:rsidR="00776421">
        <w:t xml:space="preserve">Purchase of Receivables </w:t>
      </w:r>
      <w:r>
        <w:t xml:space="preserve">which </w:t>
      </w:r>
      <w:r w:rsidR="00776421">
        <w:t>modified the way Eversource pa</w:t>
      </w:r>
      <w:r>
        <w:t xml:space="preserve">id </w:t>
      </w:r>
      <w:r w:rsidR="00776421">
        <w:t>suppliers</w:t>
      </w:r>
    </w:p>
    <w:p w:rsidR="009A3499" w:rsidRPr="009A3499" w:rsidRDefault="009A3499" w:rsidP="00441DB8">
      <w:pPr>
        <w:pStyle w:val="Heading2"/>
      </w:pPr>
      <w:bookmarkStart w:id="18" w:name="_Toc63413936"/>
      <w:r w:rsidRPr="009A3499">
        <w:t>06</w:t>
      </w:r>
      <w:r w:rsidRPr="009A3499">
        <w:noBreakHyphen/>
        <w:t>10</w:t>
      </w:r>
      <w:r w:rsidRPr="009A3499">
        <w:noBreakHyphen/>
        <w:t>22</w:t>
      </w:r>
      <w:bookmarkEnd w:id="18"/>
    </w:p>
    <w:p w:rsidR="009A3499" w:rsidRPr="009A3499" w:rsidRDefault="009A3499" w:rsidP="00737F84">
      <w:pPr>
        <w:spacing w:after="0" w:line="240" w:lineRule="auto"/>
        <w:rPr>
          <w:b/>
        </w:rPr>
      </w:pPr>
      <w:r w:rsidRPr="009A3499">
        <w:rPr>
          <w:b/>
        </w:rPr>
        <w:t>DPUC Monitoring of the State of Competition in the Electric Industry</w:t>
      </w:r>
    </w:p>
    <w:p w:rsidR="009A3499" w:rsidRDefault="009A3499" w:rsidP="00737F84">
      <w:pPr>
        <w:spacing w:after="0" w:line="240" w:lineRule="auto"/>
      </w:pPr>
    </w:p>
    <w:p w:rsidR="00963CAC" w:rsidRDefault="00963CAC" w:rsidP="00DF5C0E">
      <w:pPr>
        <w:pStyle w:val="ListParagraph"/>
        <w:numPr>
          <w:ilvl w:val="0"/>
          <w:numId w:val="2"/>
        </w:numPr>
      </w:pPr>
      <w:r>
        <w:t>Decision dated January 17, 2007</w:t>
      </w:r>
    </w:p>
    <w:p w:rsidR="00DF5C0E" w:rsidRDefault="008574FA" w:rsidP="00DF5C0E">
      <w:pPr>
        <w:pStyle w:val="ListParagraph"/>
        <w:numPr>
          <w:ilvl w:val="0"/>
          <w:numId w:val="2"/>
        </w:numPr>
      </w:pPr>
      <w:r>
        <w:t xml:space="preserve">PURA </w:t>
      </w:r>
      <w:r w:rsidR="00576526">
        <w:t xml:space="preserve">annually reports </w:t>
      </w:r>
      <w:r w:rsidR="00DF5C0E">
        <w:t>to the Legislature</w:t>
      </w:r>
    </w:p>
    <w:p w:rsidR="00DF5C0E" w:rsidRDefault="00CE102A" w:rsidP="00DF5C0E">
      <w:pPr>
        <w:pStyle w:val="ListParagraph"/>
        <w:numPr>
          <w:ilvl w:val="0"/>
          <w:numId w:val="2"/>
        </w:numPr>
      </w:pPr>
      <w:r>
        <w:t>Docket No. XX-XX-XX</w:t>
      </w:r>
      <w:r w:rsidR="00EE3FF3">
        <w:t xml:space="preserve"> -</w:t>
      </w:r>
      <w:r>
        <w:t xml:space="preserve"> 2018 Legislative Report</w:t>
      </w:r>
    </w:p>
    <w:p w:rsidR="00665CD7" w:rsidRDefault="00EE3FF3" w:rsidP="00DF5C0E">
      <w:pPr>
        <w:pStyle w:val="ListParagraph"/>
        <w:numPr>
          <w:ilvl w:val="0"/>
          <w:numId w:val="2"/>
        </w:numPr>
      </w:pPr>
      <w:r>
        <w:t>Original Decision represents</w:t>
      </w:r>
      <w:r w:rsidR="00665CD7">
        <w:t xml:space="preserve"> the ‘state of competition’ at th</w:t>
      </w:r>
      <w:r>
        <w:t>e</w:t>
      </w:r>
      <w:r w:rsidR="00665CD7">
        <w:t xml:space="preserve"> time</w:t>
      </w:r>
    </w:p>
    <w:p w:rsidR="00CE102A" w:rsidRDefault="00665CD7" w:rsidP="00DF5C0E">
      <w:pPr>
        <w:pStyle w:val="ListParagraph"/>
        <w:numPr>
          <w:ilvl w:val="0"/>
          <w:numId w:val="2"/>
        </w:numPr>
      </w:pPr>
      <w:r>
        <w:t xml:space="preserve">Established monthly EDC compliance </w:t>
      </w:r>
      <w:r w:rsidR="00023F20">
        <w:t>of</w:t>
      </w:r>
      <w:r>
        <w:t xml:space="preserve"> supplier</w:t>
      </w:r>
      <w:r>
        <w:noBreakHyphen/>
        <w:t>related data</w:t>
      </w:r>
    </w:p>
    <w:p w:rsidR="00665CD7" w:rsidRDefault="00665CD7" w:rsidP="00DF5C0E">
      <w:pPr>
        <w:pStyle w:val="ListParagraph"/>
        <w:numPr>
          <w:ilvl w:val="0"/>
          <w:numId w:val="3"/>
        </w:numPr>
        <w:ind w:left="1080"/>
      </w:pPr>
      <w:r>
        <w:t xml:space="preserve">Number of customer that have switched </w:t>
      </w:r>
      <w:r w:rsidR="006E6844">
        <w:t>–</w:t>
      </w:r>
      <w:r>
        <w:t xml:space="preserve"> </w:t>
      </w:r>
      <w:r w:rsidR="006E6844">
        <w:t xml:space="preserve">by class, </w:t>
      </w:r>
      <w:r>
        <w:t>total and supplier</w:t>
      </w:r>
    </w:p>
    <w:p w:rsidR="00F24CFC" w:rsidRDefault="00F24CFC" w:rsidP="00DF5C0E">
      <w:pPr>
        <w:pStyle w:val="ListParagraph"/>
        <w:numPr>
          <w:ilvl w:val="0"/>
          <w:numId w:val="3"/>
        </w:numPr>
        <w:ind w:left="1080"/>
      </w:pPr>
      <w:r>
        <w:t>EDC and supplier load</w:t>
      </w:r>
      <w:r w:rsidR="006E6844">
        <w:t xml:space="preserve"> – by class, total and supplier</w:t>
      </w:r>
    </w:p>
    <w:p w:rsidR="00F24CFC" w:rsidRDefault="00F24CFC" w:rsidP="00DF5C0E">
      <w:pPr>
        <w:pStyle w:val="ListParagraph"/>
        <w:numPr>
          <w:ilvl w:val="0"/>
          <w:numId w:val="3"/>
        </w:numPr>
        <w:ind w:left="1080"/>
      </w:pPr>
      <w:r>
        <w:t>Clean Energy Options participation</w:t>
      </w:r>
    </w:p>
    <w:p w:rsidR="00F24CFC" w:rsidRDefault="00AC5BF1" w:rsidP="00DF5C0E">
      <w:pPr>
        <w:pStyle w:val="ListParagraph"/>
        <w:numPr>
          <w:ilvl w:val="0"/>
          <w:numId w:val="3"/>
        </w:numPr>
        <w:ind w:left="1080"/>
      </w:pPr>
      <w:r>
        <w:t>Supplier billed prices – consolidated billing only</w:t>
      </w:r>
    </w:p>
    <w:p w:rsidR="00DF5C0E" w:rsidRDefault="0056188A" w:rsidP="00DF5C0E">
      <w:pPr>
        <w:pStyle w:val="ListParagraph"/>
        <w:numPr>
          <w:ilvl w:val="0"/>
          <w:numId w:val="3"/>
        </w:numPr>
        <w:ind w:left="1080"/>
      </w:pPr>
      <w:r>
        <w:t xml:space="preserve">Supply Summary data for recent enrollments </w:t>
      </w:r>
      <w:r w:rsidR="00961A50">
        <w:t>-</w:t>
      </w:r>
      <w:r>
        <w:t xml:space="preserve"> Docket No. 14-07-19RE05</w:t>
      </w:r>
    </w:p>
    <w:p w:rsidR="008574FA" w:rsidRDefault="008574FA" w:rsidP="001E6283">
      <w:pPr>
        <w:pStyle w:val="ListParagraph"/>
        <w:numPr>
          <w:ilvl w:val="0"/>
          <w:numId w:val="7"/>
        </w:numPr>
      </w:pPr>
      <w:r>
        <w:t xml:space="preserve">Additional data </w:t>
      </w:r>
      <w:r w:rsidR="00961A50">
        <w:t xml:space="preserve">will be submitted </w:t>
      </w:r>
      <w:r>
        <w:t>when enrollment rejection is fully implemented</w:t>
      </w:r>
    </w:p>
    <w:p w:rsidR="00DB72AC" w:rsidRPr="00E15EC1" w:rsidRDefault="00854C20" w:rsidP="00CB17EF">
      <w:pPr>
        <w:pStyle w:val="Heading2"/>
      </w:pPr>
      <w:bookmarkStart w:id="19" w:name="_Toc63413937"/>
      <w:r w:rsidRPr="00E15EC1">
        <w:lastRenderedPageBreak/>
        <w:t>07-05-33</w:t>
      </w:r>
      <w:bookmarkEnd w:id="19"/>
    </w:p>
    <w:p w:rsidR="00854C20" w:rsidRDefault="00854C20" w:rsidP="00737F84">
      <w:pPr>
        <w:spacing w:after="0" w:line="240" w:lineRule="auto"/>
      </w:pPr>
      <w:r w:rsidRPr="00E15EC1">
        <w:rPr>
          <w:b/>
        </w:rPr>
        <w:t>DPUC Administration of Disclosure Label Requirements and Examination of Direct Billing by Electric Suppliers</w:t>
      </w:r>
    </w:p>
    <w:p w:rsidR="00854C20" w:rsidRDefault="00854C20" w:rsidP="00737F84">
      <w:pPr>
        <w:spacing w:after="0" w:line="240" w:lineRule="auto"/>
      </w:pPr>
    </w:p>
    <w:p w:rsidR="007E086C" w:rsidRDefault="007E086C" w:rsidP="007E086C">
      <w:pPr>
        <w:pStyle w:val="ListParagraph"/>
        <w:numPr>
          <w:ilvl w:val="0"/>
          <w:numId w:val="2"/>
        </w:numPr>
        <w:spacing w:after="0" w:line="240" w:lineRule="auto"/>
      </w:pPr>
      <w:r>
        <w:t>Decision dated February 27, 2008</w:t>
      </w:r>
    </w:p>
    <w:p w:rsidR="00A70EF6" w:rsidRDefault="00A70EF6" w:rsidP="001C5554">
      <w:pPr>
        <w:pStyle w:val="ListParagraph"/>
        <w:numPr>
          <w:ilvl w:val="0"/>
          <w:numId w:val="2"/>
        </w:numPr>
      </w:pPr>
      <w:r>
        <w:t>Conn. Gen. Stat. 16-245</w:t>
      </w:r>
      <w:r w:rsidR="00A74938">
        <w:t xml:space="preserve"> – Information for consumers</w:t>
      </w:r>
    </w:p>
    <w:p w:rsidR="00A74938" w:rsidRDefault="001C5554" w:rsidP="001C5554">
      <w:pPr>
        <w:pStyle w:val="ListParagraph"/>
        <w:numPr>
          <w:ilvl w:val="0"/>
          <w:numId w:val="2"/>
        </w:numPr>
      </w:pPr>
      <w:r>
        <w:t>Modified the original Disclosure Label</w:t>
      </w:r>
      <w:r w:rsidR="00A74938">
        <w:t xml:space="preserve"> and clarified its content</w:t>
      </w:r>
    </w:p>
    <w:p w:rsidR="00A74938" w:rsidRDefault="00666E08" w:rsidP="001C5554">
      <w:pPr>
        <w:pStyle w:val="ListParagraph"/>
        <w:numPr>
          <w:ilvl w:val="0"/>
          <w:numId w:val="2"/>
        </w:numPr>
      </w:pPr>
      <w:r>
        <w:t xml:space="preserve">A sample of the Disclosure Label is provided </w:t>
      </w:r>
      <w:r w:rsidR="00B03580">
        <w:t xml:space="preserve">in this Decision and </w:t>
      </w:r>
      <w:r>
        <w:t>on the PURA website</w:t>
      </w:r>
    </w:p>
    <w:p w:rsidR="00E62260" w:rsidRDefault="00E62260" w:rsidP="001C5554">
      <w:pPr>
        <w:pStyle w:val="ListParagraph"/>
        <w:numPr>
          <w:ilvl w:val="0"/>
          <w:numId w:val="2"/>
        </w:numPr>
      </w:pPr>
      <w:r>
        <w:t>Disclosure Label must be provided with each contract</w:t>
      </w:r>
    </w:p>
    <w:p w:rsidR="002743B5" w:rsidRDefault="002743B5" w:rsidP="001C5554">
      <w:pPr>
        <w:pStyle w:val="ListParagraph"/>
        <w:numPr>
          <w:ilvl w:val="0"/>
          <w:numId w:val="2"/>
        </w:numPr>
      </w:pPr>
      <w:r>
        <w:t>Direct billing</w:t>
      </w:r>
    </w:p>
    <w:p w:rsidR="00E62260" w:rsidRDefault="00E616F0" w:rsidP="001C5554">
      <w:pPr>
        <w:pStyle w:val="ListParagraph"/>
        <w:numPr>
          <w:ilvl w:val="0"/>
          <w:numId w:val="2"/>
        </w:numPr>
      </w:pPr>
      <w:r>
        <w:t>Established the Rate Board format and price filing requirements</w:t>
      </w:r>
    </w:p>
    <w:p w:rsidR="00FF2A39" w:rsidRDefault="00FF2A39" w:rsidP="001C5554">
      <w:pPr>
        <w:pStyle w:val="ListParagraph"/>
        <w:numPr>
          <w:ilvl w:val="0"/>
          <w:numId w:val="2"/>
        </w:numPr>
      </w:pPr>
      <w:r>
        <w:t>Suppliers are required to post all generally available offers</w:t>
      </w:r>
    </w:p>
    <w:p w:rsidR="00E11D7E" w:rsidRDefault="00E11D7E" w:rsidP="001C5554">
      <w:pPr>
        <w:pStyle w:val="ListParagraph"/>
        <w:numPr>
          <w:ilvl w:val="0"/>
          <w:numId w:val="2"/>
        </w:numPr>
      </w:pPr>
      <w:r>
        <w:t>Suppliers self</w:t>
      </w:r>
      <w:r>
        <w:noBreakHyphen/>
        <w:t>report their offers to the Rate Board</w:t>
      </w:r>
    </w:p>
    <w:p w:rsidR="00FF2A39" w:rsidRDefault="00FF2A39" w:rsidP="001C5554">
      <w:pPr>
        <w:pStyle w:val="ListParagraph"/>
        <w:numPr>
          <w:ilvl w:val="0"/>
          <w:numId w:val="2"/>
        </w:numPr>
      </w:pPr>
      <w:r>
        <w:t>Mass market rates must be all-inclusive assure apples</w:t>
      </w:r>
      <w:r>
        <w:noBreakHyphen/>
        <w:t>to</w:t>
      </w:r>
      <w:r>
        <w:noBreakHyphen/>
        <w:t>apples comparison.</w:t>
      </w:r>
    </w:p>
    <w:p w:rsidR="00854C20" w:rsidRDefault="00854C20" w:rsidP="00737F84">
      <w:pPr>
        <w:spacing w:after="0" w:line="240" w:lineRule="auto"/>
      </w:pPr>
    </w:p>
    <w:p w:rsidR="00A70EF6" w:rsidRPr="001858AE" w:rsidRDefault="00B03580" w:rsidP="006576A4">
      <w:pPr>
        <w:pStyle w:val="Heading2"/>
      </w:pPr>
      <w:bookmarkStart w:id="20" w:name="_Toc63413938"/>
      <w:r w:rsidRPr="001858AE">
        <w:t>10-06-24</w:t>
      </w:r>
      <w:bookmarkEnd w:id="20"/>
    </w:p>
    <w:p w:rsidR="00B03580" w:rsidRPr="001858AE" w:rsidRDefault="001858AE" w:rsidP="00737F84">
      <w:pPr>
        <w:spacing w:after="0" w:line="240" w:lineRule="auto"/>
        <w:rPr>
          <w:b/>
        </w:rPr>
      </w:pPr>
      <w:r w:rsidRPr="001858AE">
        <w:rPr>
          <w:b/>
        </w:rPr>
        <w:t>DPUC Review of the Current Status of the Competitive Supplier and Aggregator Market in Connecticut and Marketing Practices and Conduct of Participants in that Market</w:t>
      </w:r>
    </w:p>
    <w:p w:rsidR="001858AE" w:rsidRPr="001858AE" w:rsidRDefault="001858AE" w:rsidP="00737F84">
      <w:pPr>
        <w:spacing w:after="0" w:line="240" w:lineRule="auto"/>
      </w:pPr>
    </w:p>
    <w:p w:rsidR="001858AE" w:rsidRDefault="001858AE" w:rsidP="001858AE">
      <w:pPr>
        <w:pStyle w:val="ListParagraph"/>
        <w:numPr>
          <w:ilvl w:val="0"/>
          <w:numId w:val="2"/>
        </w:numPr>
        <w:spacing w:after="0" w:line="240" w:lineRule="auto"/>
      </w:pPr>
      <w:r>
        <w:t xml:space="preserve">Decision dated </w:t>
      </w:r>
      <w:r w:rsidR="00C13FA8">
        <w:t>March</w:t>
      </w:r>
      <w:r>
        <w:t xml:space="preserve"> </w:t>
      </w:r>
      <w:r w:rsidR="00C13FA8">
        <w:t>16, 2011</w:t>
      </w:r>
    </w:p>
    <w:p w:rsidR="009D53D8" w:rsidRDefault="009D53D8" w:rsidP="001858AE">
      <w:pPr>
        <w:pStyle w:val="ListParagraph"/>
        <w:numPr>
          <w:ilvl w:val="0"/>
          <w:numId w:val="2"/>
        </w:numPr>
        <w:spacing w:after="0" w:line="240" w:lineRule="auto"/>
      </w:pPr>
      <w:r>
        <w:t>Referral Program</w:t>
      </w:r>
      <w:r w:rsidR="006E4236">
        <w:t xml:space="preserve"> has</w:t>
      </w:r>
      <w:r>
        <w:t xml:space="preserve"> met its goal</w:t>
      </w:r>
    </w:p>
    <w:p w:rsidR="006D3CA4" w:rsidRDefault="00986CB3" w:rsidP="001858AE">
      <w:pPr>
        <w:pStyle w:val="ListParagraph"/>
        <w:numPr>
          <w:ilvl w:val="0"/>
          <w:numId w:val="2"/>
        </w:numPr>
      </w:pPr>
      <w:r>
        <w:t xml:space="preserve">Disclosure Label </w:t>
      </w:r>
      <w:r w:rsidR="0098269D">
        <w:t>-</w:t>
      </w:r>
      <w:r>
        <w:t xml:space="preserve"> no change</w:t>
      </w:r>
      <w:r w:rsidR="00957F1D">
        <w:t>s</w:t>
      </w:r>
    </w:p>
    <w:p w:rsidR="006D3CA4" w:rsidRDefault="00732733" w:rsidP="001858AE">
      <w:pPr>
        <w:pStyle w:val="ListParagraph"/>
        <w:numPr>
          <w:ilvl w:val="0"/>
          <w:numId w:val="2"/>
        </w:numPr>
      </w:pPr>
      <w:r>
        <w:t>Rate Board</w:t>
      </w:r>
    </w:p>
    <w:p w:rsidR="001858AE" w:rsidRDefault="001921B6" w:rsidP="006D3CA4">
      <w:pPr>
        <w:pStyle w:val="ListParagraph"/>
        <w:numPr>
          <w:ilvl w:val="0"/>
          <w:numId w:val="9"/>
        </w:numPr>
        <w:ind w:left="1080"/>
      </w:pPr>
      <w:r>
        <w:t xml:space="preserve">Reinforced </w:t>
      </w:r>
      <w:r w:rsidR="0098269D">
        <w:t>that</w:t>
      </w:r>
      <w:r>
        <w:t xml:space="preserve"> suppliers </w:t>
      </w:r>
      <w:r w:rsidR="006D3CA4">
        <w:t xml:space="preserve">must </w:t>
      </w:r>
      <w:r>
        <w:t>post generally available offers to the Rate Board</w:t>
      </w:r>
    </w:p>
    <w:p w:rsidR="006D3CA4" w:rsidRDefault="006D3CA4" w:rsidP="006D3CA4">
      <w:pPr>
        <w:pStyle w:val="ListParagraph"/>
        <w:numPr>
          <w:ilvl w:val="0"/>
          <w:numId w:val="9"/>
        </w:numPr>
        <w:ind w:left="1080"/>
      </w:pPr>
      <w:r>
        <w:t>Suppliers must also post generally available business offers to the Rate Board</w:t>
      </w:r>
    </w:p>
    <w:p w:rsidR="001921B6" w:rsidRDefault="00B11801" w:rsidP="006D3CA4">
      <w:pPr>
        <w:pStyle w:val="ListParagraph"/>
        <w:numPr>
          <w:ilvl w:val="0"/>
          <w:numId w:val="9"/>
        </w:numPr>
        <w:ind w:left="1080"/>
      </w:pPr>
      <w:r>
        <w:t>Established p</w:t>
      </w:r>
      <w:r w:rsidR="005E29FC">
        <w:t>osting standards</w:t>
      </w:r>
    </w:p>
    <w:p w:rsidR="001858AE" w:rsidRDefault="005E29FC" w:rsidP="001858AE">
      <w:pPr>
        <w:pStyle w:val="ListParagraph"/>
        <w:numPr>
          <w:ilvl w:val="0"/>
          <w:numId w:val="2"/>
        </w:numPr>
      </w:pPr>
      <w:r>
        <w:t xml:space="preserve">Direct billing </w:t>
      </w:r>
      <w:r w:rsidR="00165931">
        <w:t>is</w:t>
      </w:r>
      <w:r w:rsidR="006D3CA4">
        <w:t xml:space="preserve"> </w:t>
      </w:r>
      <w:r>
        <w:t>expanded to the residential class</w:t>
      </w:r>
    </w:p>
    <w:p w:rsidR="001858AE" w:rsidRDefault="005E29FC" w:rsidP="001858AE">
      <w:pPr>
        <w:pStyle w:val="ListParagraph"/>
        <w:numPr>
          <w:ilvl w:val="0"/>
          <w:numId w:val="2"/>
        </w:numPr>
      </w:pPr>
      <w:r>
        <w:t>Supplier Working Group</w:t>
      </w:r>
      <w:r w:rsidR="00732733">
        <w:t xml:space="preserve"> </w:t>
      </w:r>
      <w:r w:rsidR="00165931">
        <w:t xml:space="preserve">is </w:t>
      </w:r>
      <w:r w:rsidR="00732733">
        <w:t>established</w:t>
      </w:r>
    </w:p>
    <w:p w:rsidR="001858AE" w:rsidRDefault="00053BB0" w:rsidP="001858AE">
      <w:pPr>
        <w:pStyle w:val="ListParagraph"/>
        <w:numPr>
          <w:ilvl w:val="0"/>
          <w:numId w:val="2"/>
        </w:numPr>
      </w:pPr>
      <w:r>
        <w:t>M</w:t>
      </w:r>
      <w:r w:rsidR="008D5DEE">
        <w:t>id-cycle supplier enrollment</w:t>
      </w:r>
      <w:r>
        <w:t xml:space="preserve"> </w:t>
      </w:r>
      <w:r w:rsidR="00165931">
        <w:t xml:space="preserve">is </w:t>
      </w:r>
      <w:r>
        <w:t>discussed</w:t>
      </w:r>
    </w:p>
    <w:p w:rsidR="00FA5D0F" w:rsidRDefault="00FA5D0F" w:rsidP="001858AE">
      <w:pPr>
        <w:pStyle w:val="ListParagraph"/>
        <w:numPr>
          <w:ilvl w:val="0"/>
          <w:numId w:val="2"/>
        </w:numPr>
      </w:pPr>
      <w:r>
        <w:t>Marketing and Sales Practices Guidelines are established</w:t>
      </w:r>
    </w:p>
    <w:p w:rsidR="00BB3992" w:rsidRDefault="00BB3992" w:rsidP="00BB3992">
      <w:pPr>
        <w:pStyle w:val="ListParagraph"/>
        <w:numPr>
          <w:ilvl w:val="0"/>
          <w:numId w:val="10"/>
        </w:numPr>
        <w:ind w:left="1080"/>
      </w:pPr>
      <w:r>
        <w:t>Training sales agents</w:t>
      </w:r>
    </w:p>
    <w:p w:rsidR="00BB3992" w:rsidRDefault="00BB3992" w:rsidP="00BB3992">
      <w:pPr>
        <w:pStyle w:val="ListParagraph"/>
        <w:numPr>
          <w:ilvl w:val="0"/>
          <w:numId w:val="10"/>
        </w:numPr>
        <w:ind w:left="1080"/>
      </w:pPr>
      <w:r>
        <w:t>Requirements for promotional and marketing materials</w:t>
      </w:r>
    </w:p>
    <w:p w:rsidR="00BB3992" w:rsidRDefault="00967F6D" w:rsidP="00BB3992">
      <w:pPr>
        <w:pStyle w:val="ListParagraph"/>
        <w:numPr>
          <w:ilvl w:val="0"/>
          <w:numId w:val="10"/>
        </w:numPr>
        <w:ind w:left="1080"/>
      </w:pPr>
      <w:r>
        <w:t>Prohibited conduct</w:t>
      </w:r>
    </w:p>
    <w:p w:rsidR="00967F6D" w:rsidRDefault="00967F6D" w:rsidP="00BB3992">
      <w:pPr>
        <w:pStyle w:val="ListParagraph"/>
        <w:numPr>
          <w:ilvl w:val="0"/>
          <w:numId w:val="10"/>
        </w:numPr>
        <w:ind w:left="1080"/>
      </w:pPr>
      <w:r>
        <w:t>Telephone sales and marketing</w:t>
      </w:r>
    </w:p>
    <w:p w:rsidR="001858AE" w:rsidRDefault="00967F6D" w:rsidP="001858AE">
      <w:pPr>
        <w:pStyle w:val="ListParagraph"/>
        <w:numPr>
          <w:ilvl w:val="0"/>
          <w:numId w:val="10"/>
        </w:numPr>
        <w:spacing w:after="0" w:line="240" w:lineRule="auto"/>
        <w:ind w:left="1080"/>
      </w:pPr>
      <w:r>
        <w:t>Door</w:t>
      </w:r>
      <w:r>
        <w:noBreakHyphen/>
        <w:t>to-door sales and marketing</w:t>
      </w:r>
    </w:p>
    <w:p w:rsidR="006E6012" w:rsidRDefault="006E6012" w:rsidP="006E6012">
      <w:pPr>
        <w:spacing w:after="0" w:line="240" w:lineRule="auto"/>
      </w:pPr>
    </w:p>
    <w:p w:rsidR="00194E48" w:rsidRDefault="00194E48" w:rsidP="007908BB">
      <w:pPr>
        <w:pStyle w:val="Heading2"/>
      </w:pPr>
      <w:bookmarkStart w:id="21" w:name="_Toc63413939"/>
      <w:r>
        <w:t>13-07-18</w:t>
      </w:r>
      <w:bookmarkEnd w:id="21"/>
    </w:p>
    <w:p w:rsidR="00194E48" w:rsidRDefault="00194E48">
      <w:pPr>
        <w:rPr>
          <w:b/>
        </w:rPr>
      </w:pPr>
      <w:r w:rsidRPr="00194E48">
        <w:rPr>
          <w:b/>
        </w:rPr>
        <w:t>PURA Establishment of Rules for Electric Suppliers and EDCs Concerning Operations and Marketing in the Electric Retail</w:t>
      </w:r>
    </w:p>
    <w:p w:rsidR="0074365E" w:rsidRDefault="0074365E" w:rsidP="0074365E">
      <w:pPr>
        <w:pStyle w:val="ListParagraph"/>
        <w:numPr>
          <w:ilvl w:val="0"/>
          <w:numId w:val="2"/>
        </w:numPr>
        <w:spacing w:after="200" w:line="276" w:lineRule="auto"/>
      </w:pPr>
      <w:r>
        <w:t>Decision dated November 5, 2014</w:t>
      </w:r>
    </w:p>
    <w:p w:rsidR="0074365E" w:rsidRDefault="0074365E" w:rsidP="0074365E">
      <w:pPr>
        <w:pStyle w:val="ListParagraph"/>
        <w:numPr>
          <w:ilvl w:val="0"/>
          <w:numId w:val="2"/>
        </w:numPr>
        <w:spacing w:after="200" w:line="276" w:lineRule="auto"/>
      </w:pPr>
      <w:r>
        <w:t xml:space="preserve">Established </w:t>
      </w:r>
      <w:r w:rsidRPr="00534908">
        <w:t>rules &amp; guidelines suppliers must follow in the Connecticut retail marketplace</w:t>
      </w:r>
    </w:p>
    <w:p w:rsidR="0074365E" w:rsidRDefault="0074365E" w:rsidP="0074365E">
      <w:pPr>
        <w:pStyle w:val="ListParagraph"/>
        <w:numPr>
          <w:ilvl w:val="0"/>
          <w:numId w:val="2"/>
        </w:numPr>
        <w:spacing w:after="200" w:line="276" w:lineRule="auto"/>
      </w:pPr>
      <w:r>
        <w:t>Opened, in part, to address customer complaints following Polar Vortex – Winter 2013/2014:</w:t>
      </w:r>
    </w:p>
    <w:p w:rsidR="0074365E" w:rsidRDefault="0074365E" w:rsidP="0074365E">
      <w:pPr>
        <w:pStyle w:val="ListParagraph"/>
        <w:numPr>
          <w:ilvl w:val="1"/>
          <w:numId w:val="2"/>
        </w:numPr>
        <w:spacing w:after="200" w:line="276" w:lineRule="auto"/>
      </w:pPr>
      <w:r>
        <w:lastRenderedPageBreak/>
        <w:t>Sudden, steep rate increases with no customer notification</w:t>
      </w:r>
    </w:p>
    <w:p w:rsidR="0074365E" w:rsidRDefault="0074365E" w:rsidP="0074365E">
      <w:pPr>
        <w:pStyle w:val="ListParagraph"/>
        <w:numPr>
          <w:ilvl w:val="1"/>
          <w:numId w:val="2"/>
        </w:numPr>
        <w:spacing w:after="200" w:line="276" w:lineRule="auto"/>
      </w:pPr>
      <w:r>
        <w:t xml:space="preserve">Lack of written contracts </w:t>
      </w:r>
    </w:p>
    <w:p w:rsidR="0074365E" w:rsidRDefault="0074365E" w:rsidP="0074365E">
      <w:pPr>
        <w:pStyle w:val="ListParagraph"/>
        <w:numPr>
          <w:ilvl w:val="1"/>
          <w:numId w:val="2"/>
        </w:numPr>
        <w:spacing w:after="200" w:line="276" w:lineRule="auto"/>
      </w:pPr>
      <w:r>
        <w:t>Concerns over door-to-door and telemarketing practices</w:t>
      </w:r>
    </w:p>
    <w:p w:rsidR="0074365E" w:rsidRDefault="0074365E" w:rsidP="0074365E">
      <w:pPr>
        <w:pStyle w:val="ListParagraph"/>
        <w:numPr>
          <w:ilvl w:val="0"/>
          <w:numId w:val="2"/>
        </w:numPr>
        <w:spacing w:after="200" w:line="276" w:lineRule="auto"/>
      </w:pPr>
      <w:r>
        <w:t>Customer Notification requirements:</w:t>
      </w:r>
    </w:p>
    <w:p w:rsidR="0074365E" w:rsidRDefault="0074365E" w:rsidP="0074365E">
      <w:pPr>
        <w:pStyle w:val="ListParagraph"/>
        <w:numPr>
          <w:ilvl w:val="1"/>
          <w:numId w:val="2"/>
        </w:numPr>
        <w:spacing w:after="200" w:line="276" w:lineRule="auto"/>
      </w:pPr>
      <w:r>
        <w:t xml:space="preserve">Customer choice re </w:t>
      </w:r>
      <w:r w:rsidRPr="00534908">
        <w:t>notification options</w:t>
      </w:r>
      <w:r>
        <w:t xml:space="preserve"> - </w:t>
      </w:r>
      <w:r w:rsidRPr="00534908">
        <w:t>USPS, text, email</w:t>
      </w:r>
    </w:p>
    <w:p w:rsidR="0074365E" w:rsidRDefault="0074365E" w:rsidP="0074365E">
      <w:pPr>
        <w:pStyle w:val="ListParagraph"/>
        <w:numPr>
          <w:ilvl w:val="1"/>
          <w:numId w:val="2"/>
        </w:numPr>
        <w:spacing w:after="200" w:line="276" w:lineRule="auto"/>
      </w:pPr>
      <w:r>
        <w:t xml:space="preserve">Notification required for upcoming rate change </w:t>
      </w:r>
    </w:p>
    <w:p w:rsidR="0074365E" w:rsidRDefault="0074365E" w:rsidP="0074365E">
      <w:pPr>
        <w:pStyle w:val="ListParagraph"/>
        <w:numPr>
          <w:ilvl w:val="1"/>
          <w:numId w:val="2"/>
        </w:numPr>
        <w:spacing w:after="200" w:line="276" w:lineRule="auto"/>
      </w:pPr>
      <w:r>
        <w:t xml:space="preserve">Notification required for term expiration </w:t>
      </w:r>
    </w:p>
    <w:p w:rsidR="0074365E" w:rsidRDefault="0074365E" w:rsidP="0074365E">
      <w:pPr>
        <w:pStyle w:val="ListParagraph"/>
        <w:numPr>
          <w:ilvl w:val="1"/>
          <w:numId w:val="2"/>
        </w:numPr>
        <w:spacing w:after="200" w:line="276" w:lineRule="auto"/>
      </w:pPr>
      <w:r>
        <w:t xml:space="preserve">Notification required for rate increase &gt; 25% </w:t>
      </w:r>
    </w:p>
    <w:p w:rsidR="0074365E" w:rsidRDefault="0074365E" w:rsidP="0074365E">
      <w:pPr>
        <w:pStyle w:val="ListParagraph"/>
        <w:numPr>
          <w:ilvl w:val="0"/>
          <w:numId w:val="2"/>
        </w:numPr>
        <w:spacing w:after="200" w:line="276" w:lineRule="auto"/>
      </w:pPr>
      <w:r>
        <w:t>Required use of PURA approved forms</w:t>
      </w:r>
    </w:p>
    <w:p w:rsidR="0074365E" w:rsidRDefault="0074365E" w:rsidP="0074365E">
      <w:pPr>
        <w:pStyle w:val="ListParagraph"/>
        <w:numPr>
          <w:ilvl w:val="1"/>
          <w:numId w:val="2"/>
        </w:numPr>
        <w:spacing w:after="200" w:line="276" w:lineRule="auto"/>
      </w:pPr>
      <w:r>
        <w:t>Form 2 – end of fixed rate term</w:t>
      </w:r>
    </w:p>
    <w:p w:rsidR="0074365E" w:rsidRDefault="0074365E" w:rsidP="0074365E">
      <w:pPr>
        <w:pStyle w:val="ListParagraph"/>
        <w:numPr>
          <w:ilvl w:val="1"/>
          <w:numId w:val="2"/>
        </w:numPr>
        <w:spacing w:after="200" w:line="276" w:lineRule="auto"/>
      </w:pPr>
      <w:r>
        <w:t>Form 5 – Company Contact information</w:t>
      </w:r>
    </w:p>
    <w:p w:rsidR="0074365E" w:rsidRDefault="0074365E" w:rsidP="0074365E">
      <w:pPr>
        <w:pStyle w:val="ListParagraph"/>
        <w:numPr>
          <w:ilvl w:val="1"/>
          <w:numId w:val="2"/>
        </w:numPr>
        <w:spacing w:after="200" w:line="276" w:lineRule="auto"/>
      </w:pPr>
      <w:r>
        <w:t>Form 6 – Third Party Agent information</w:t>
      </w:r>
    </w:p>
    <w:p w:rsidR="0074365E" w:rsidRDefault="0074365E" w:rsidP="0074365E">
      <w:pPr>
        <w:pStyle w:val="ListParagraph"/>
        <w:numPr>
          <w:ilvl w:val="0"/>
          <w:numId w:val="2"/>
        </w:numPr>
        <w:spacing w:after="200" w:line="276" w:lineRule="auto"/>
      </w:pPr>
      <w:r>
        <w:t xml:space="preserve">Established On-Cycle Date as Date of Enrollment </w:t>
      </w:r>
    </w:p>
    <w:p w:rsidR="0074365E" w:rsidRDefault="0074365E" w:rsidP="0074365E">
      <w:pPr>
        <w:pStyle w:val="ListParagraph"/>
        <w:numPr>
          <w:ilvl w:val="0"/>
          <w:numId w:val="2"/>
        </w:numPr>
        <w:spacing w:after="200" w:line="276" w:lineRule="auto"/>
      </w:pPr>
      <w:r>
        <w:t>Standardized Contract Information:</w:t>
      </w:r>
    </w:p>
    <w:p w:rsidR="0074365E" w:rsidRDefault="0074365E" w:rsidP="0074365E">
      <w:pPr>
        <w:pStyle w:val="ListParagraph"/>
        <w:numPr>
          <w:ilvl w:val="1"/>
          <w:numId w:val="2"/>
        </w:numPr>
        <w:spacing w:after="200" w:line="276" w:lineRule="auto"/>
      </w:pPr>
      <w:r>
        <w:t>Contract date</w:t>
      </w:r>
    </w:p>
    <w:p w:rsidR="0074365E" w:rsidRDefault="0074365E" w:rsidP="0074365E">
      <w:pPr>
        <w:pStyle w:val="ListParagraph"/>
        <w:numPr>
          <w:ilvl w:val="1"/>
          <w:numId w:val="2"/>
        </w:numPr>
        <w:spacing w:after="200" w:line="276" w:lineRule="auto"/>
      </w:pPr>
      <w:r>
        <w:t>Expiration date</w:t>
      </w:r>
    </w:p>
    <w:p w:rsidR="0074365E" w:rsidRDefault="0074365E" w:rsidP="0074365E">
      <w:pPr>
        <w:pStyle w:val="ListParagraph"/>
        <w:numPr>
          <w:ilvl w:val="1"/>
          <w:numId w:val="2"/>
        </w:numPr>
        <w:spacing w:after="200" w:line="276" w:lineRule="auto"/>
      </w:pPr>
      <w:r>
        <w:t>PURA contact information</w:t>
      </w:r>
    </w:p>
    <w:p w:rsidR="0074365E" w:rsidRDefault="0074365E" w:rsidP="0074365E">
      <w:pPr>
        <w:pStyle w:val="ListParagraph"/>
        <w:numPr>
          <w:ilvl w:val="1"/>
          <w:numId w:val="2"/>
        </w:numPr>
        <w:spacing w:after="200" w:line="276" w:lineRule="auto"/>
      </w:pPr>
      <w:r>
        <w:t>Cancellation provisions</w:t>
      </w:r>
    </w:p>
    <w:p w:rsidR="0074365E" w:rsidRDefault="0074365E" w:rsidP="0074365E">
      <w:pPr>
        <w:pStyle w:val="ListParagraph"/>
        <w:numPr>
          <w:ilvl w:val="0"/>
          <w:numId w:val="2"/>
        </w:numPr>
        <w:spacing w:after="200" w:line="276" w:lineRule="auto"/>
      </w:pPr>
      <w:r>
        <w:t>Supplier Website must be Connecticut specific and include certain information</w:t>
      </w:r>
    </w:p>
    <w:p w:rsidR="0074365E" w:rsidRDefault="0074365E" w:rsidP="0074365E">
      <w:pPr>
        <w:pStyle w:val="ListParagraph"/>
        <w:numPr>
          <w:ilvl w:val="0"/>
          <w:numId w:val="2"/>
        </w:numPr>
        <w:spacing w:after="200" w:line="276" w:lineRule="auto"/>
      </w:pPr>
      <w:r>
        <w:t>Rate Board</w:t>
      </w:r>
    </w:p>
    <w:p w:rsidR="0074365E" w:rsidRDefault="0074365E" w:rsidP="0074365E">
      <w:pPr>
        <w:pStyle w:val="ListParagraph"/>
        <w:numPr>
          <w:ilvl w:val="1"/>
          <w:numId w:val="2"/>
        </w:numPr>
        <w:spacing w:after="200" w:line="276" w:lineRule="auto"/>
      </w:pPr>
      <w:r>
        <w:t>Residential &amp; business offers defined</w:t>
      </w:r>
    </w:p>
    <w:p w:rsidR="0074365E" w:rsidRDefault="0074365E" w:rsidP="0074365E">
      <w:pPr>
        <w:pStyle w:val="ListParagraph"/>
        <w:numPr>
          <w:ilvl w:val="1"/>
          <w:numId w:val="2"/>
        </w:numPr>
        <w:spacing w:after="200" w:line="276" w:lineRule="auto"/>
      </w:pPr>
      <w:r>
        <w:t>Offer price must be “All-In”</w:t>
      </w:r>
    </w:p>
    <w:p w:rsidR="0074365E" w:rsidRDefault="0074365E" w:rsidP="0074365E">
      <w:pPr>
        <w:pStyle w:val="ListParagraph"/>
        <w:numPr>
          <w:ilvl w:val="1"/>
          <w:numId w:val="2"/>
        </w:numPr>
        <w:spacing w:after="200" w:line="276" w:lineRule="auto"/>
      </w:pPr>
      <w:r>
        <w:t xml:space="preserve">Rate Board offers must align with supplier website </w:t>
      </w:r>
    </w:p>
    <w:p w:rsidR="0074365E" w:rsidRDefault="0074365E" w:rsidP="0074365E">
      <w:pPr>
        <w:pStyle w:val="ListParagraph"/>
        <w:numPr>
          <w:ilvl w:val="0"/>
          <w:numId w:val="2"/>
        </w:numPr>
        <w:spacing w:after="200" w:line="276" w:lineRule="auto"/>
      </w:pPr>
      <w:r>
        <w:t>Historical Variable Rates</w:t>
      </w:r>
    </w:p>
    <w:p w:rsidR="00A33955" w:rsidRDefault="00A33955" w:rsidP="007908BB">
      <w:pPr>
        <w:pStyle w:val="Heading2"/>
      </w:pPr>
      <w:bookmarkStart w:id="22" w:name="_Toc63413940"/>
      <w:r>
        <w:t>14-07-17</w:t>
      </w:r>
      <w:bookmarkEnd w:id="22"/>
    </w:p>
    <w:p w:rsidR="00A33955" w:rsidRPr="00A33955" w:rsidRDefault="00A33955" w:rsidP="00A33955">
      <w:pPr>
        <w:spacing w:after="0" w:line="240" w:lineRule="auto"/>
        <w:rPr>
          <w:b/>
        </w:rPr>
      </w:pPr>
      <w:r w:rsidRPr="00A33955">
        <w:rPr>
          <w:b/>
        </w:rPr>
        <w:t>PURA Development of Standard Summary Form of Material Contract Terms</w:t>
      </w:r>
    </w:p>
    <w:p w:rsidR="00A33955" w:rsidRDefault="00A33955" w:rsidP="00A33955">
      <w:pPr>
        <w:spacing w:after="0" w:line="240" w:lineRule="auto"/>
      </w:pPr>
    </w:p>
    <w:p w:rsidR="00757BCB" w:rsidRDefault="00757BCB" w:rsidP="00757BCB">
      <w:pPr>
        <w:pStyle w:val="ListParagraph"/>
        <w:numPr>
          <w:ilvl w:val="0"/>
          <w:numId w:val="2"/>
        </w:numPr>
        <w:spacing w:after="0" w:line="240" w:lineRule="auto"/>
      </w:pPr>
      <w:r>
        <w:t>Decision dated February 11, 2015</w:t>
      </w:r>
    </w:p>
    <w:p w:rsidR="00F25BB0" w:rsidRDefault="00F25BB0" w:rsidP="00757BCB">
      <w:pPr>
        <w:pStyle w:val="ListParagraph"/>
        <w:numPr>
          <w:ilvl w:val="0"/>
          <w:numId w:val="2"/>
        </w:numPr>
        <w:spacing w:after="0" w:line="240" w:lineRule="auto"/>
      </w:pPr>
      <w:r>
        <w:t>Established a standard Contract Summary form for residential customers</w:t>
      </w:r>
    </w:p>
    <w:p w:rsidR="00F25BB0" w:rsidRDefault="00F25BB0" w:rsidP="00F25BB0">
      <w:pPr>
        <w:pStyle w:val="ListParagraph"/>
        <w:numPr>
          <w:ilvl w:val="0"/>
          <w:numId w:val="14"/>
        </w:numPr>
        <w:ind w:left="1080"/>
      </w:pPr>
      <w:r>
        <w:t>Generation Rate</w:t>
      </w:r>
    </w:p>
    <w:p w:rsidR="00F25BB0" w:rsidRDefault="00F25BB0" w:rsidP="00F25BB0">
      <w:pPr>
        <w:pStyle w:val="ListParagraph"/>
        <w:numPr>
          <w:ilvl w:val="0"/>
          <w:numId w:val="14"/>
        </w:numPr>
        <w:ind w:left="1080"/>
      </w:pPr>
      <w:r>
        <w:t>Rate Plan – Fixed/Variable</w:t>
      </w:r>
    </w:p>
    <w:p w:rsidR="00F25BB0" w:rsidRDefault="00F25BB0" w:rsidP="00F25BB0">
      <w:pPr>
        <w:pStyle w:val="ListParagraph"/>
        <w:numPr>
          <w:ilvl w:val="0"/>
          <w:numId w:val="14"/>
        </w:numPr>
        <w:ind w:left="1080"/>
      </w:pPr>
      <w:r>
        <w:t>Service Location – Address</w:t>
      </w:r>
    </w:p>
    <w:p w:rsidR="00F25BB0" w:rsidRDefault="00F25BB0" w:rsidP="00F25BB0">
      <w:pPr>
        <w:pStyle w:val="ListParagraph"/>
        <w:numPr>
          <w:ilvl w:val="0"/>
          <w:numId w:val="14"/>
        </w:numPr>
        <w:ind w:left="1080"/>
      </w:pPr>
      <w:r>
        <w:t>Term &amp; Expiration</w:t>
      </w:r>
    </w:p>
    <w:p w:rsidR="00F25BB0" w:rsidRDefault="00F25BB0" w:rsidP="00F25BB0">
      <w:pPr>
        <w:pStyle w:val="ListParagraph"/>
        <w:numPr>
          <w:ilvl w:val="0"/>
          <w:numId w:val="14"/>
        </w:numPr>
        <w:ind w:left="1080"/>
      </w:pPr>
      <w:r>
        <w:t>Contract Renewal</w:t>
      </w:r>
    </w:p>
    <w:p w:rsidR="00F25BB0" w:rsidRDefault="00F25BB0" w:rsidP="00F25BB0">
      <w:pPr>
        <w:pStyle w:val="ListParagraph"/>
        <w:numPr>
          <w:ilvl w:val="0"/>
          <w:numId w:val="14"/>
        </w:numPr>
        <w:ind w:left="1080"/>
      </w:pPr>
      <w:r>
        <w:t>Other Fees</w:t>
      </w:r>
    </w:p>
    <w:p w:rsidR="00F25BB0" w:rsidRDefault="00F25BB0" w:rsidP="00F25BB0">
      <w:pPr>
        <w:pStyle w:val="ListParagraph"/>
        <w:numPr>
          <w:ilvl w:val="0"/>
          <w:numId w:val="14"/>
        </w:numPr>
        <w:ind w:left="1080"/>
      </w:pPr>
      <w:r>
        <w:t>Right to Cancel</w:t>
      </w:r>
    </w:p>
    <w:p w:rsidR="00F25BB0" w:rsidRDefault="00F25BB0" w:rsidP="00F25BB0">
      <w:pPr>
        <w:pStyle w:val="ListParagraph"/>
        <w:numPr>
          <w:ilvl w:val="0"/>
          <w:numId w:val="14"/>
        </w:numPr>
        <w:ind w:left="1080"/>
      </w:pPr>
      <w:r>
        <w:t>Emission &amp; Generation Mix</w:t>
      </w:r>
    </w:p>
    <w:p w:rsidR="00F25BB0" w:rsidRDefault="00F25BB0" w:rsidP="00F25BB0">
      <w:pPr>
        <w:pStyle w:val="ListParagraph"/>
        <w:numPr>
          <w:ilvl w:val="0"/>
          <w:numId w:val="14"/>
        </w:numPr>
        <w:spacing w:after="0" w:line="240" w:lineRule="auto"/>
        <w:ind w:left="1080"/>
      </w:pPr>
      <w:r>
        <w:t>Supplier &amp; PURA Contact Information</w:t>
      </w:r>
    </w:p>
    <w:p w:rsidR="005A3DE6" w:rsidRDefault="00766161" w:rsidP="00757BCB">
      <w:pPr>
        <w:pStyle w:val="ListParagraph"/>
        <w:numPr>
          <w:ilvl w:val="0"/>
          <w:numId w:val="2"/>
        </w:numPr>
        <w:spacing w:after="0" w:line="240" w:lineRule="auto"/>
      </w:pPr>
      <w:r>
        <w:t xml:space="preserve">Prescribed </w:t>
      </w:r>
      <w:r w:rsidR="005A3DE6">
        <w:t>placement of the Disclosure Label within the contract</w:t>
      </w:r>
    </w:p>
    <w:p w:rsidR="00F25BB0" w:rsidRDefault="00766161" w:rsidP="00757BCB">
      <w:pPr>
        <w:pStyle w:val="ListParagraph"/>
        <w:numPr>
          <w:ilvl w:val="0"/>
          <w:numId w:val="2"/>
        </w:numPr>
        <w:spacing w:after="0" w:line="240" w:lineRule="auto"/>
      </w:pPr>
      <w:r>
        <w:t>C</w:t>
      </w:r>
      <w:r w:rsidR="00F25BB0">
        <w:t>ompared to a Schumer Box</w:t>
      </w:r>
    </w:p>
    <w:p w:rsidR="00F25BB0" w:rsidRPr="008974E2" w:rsidRDefault="00F25BB0" w:rsidP="00F25BB0">
      <w:pPr>
        <w:spacing w:after="0" w:line="240" w:lineRule="auto"/>
      </w:pPr>
    </w:p>
    <w:p w:rsidR="003D5517" w:rsidRDefault="003D5517" w:rsidP="007908BB">
      <w:pPr>
        <w:pStyle w:val="Heading2"/>
      </w:pPr>
      <w:bookmarkStart w:id="23" w:name="_Toc63413941"/>
      <w:r>
        <w:lastRenderedPageBreak/>
        <w:t>14-07-19</w:t>
      </w:r>
      <w:bookmarkEnd w:id="23"/>
    </w:p>
    <w:p w:rsidR="003D5517" w:rsidRDefault="003D5517" w:rsidP="003D5517">
      <w:pPr>
        <w:rPr>
          <w:b/>
        </w:rPr>
      </w:pPr>
      <w:r>
        <w:rPr>
          <w:b/>
        </w:rPr>
        <w:t xml:space="preserve">PURA Investigation </w:t>
      </w:r>
      <w:proofErr w:type="gramStart"/>
      <w:r>
        <w:rPr>
          <w:b/>
        </w:rPr>
        <w:t>Into</w:t>
      </w:r>
      <w:proofErr w:type="gramEnd"/>
      <w:r>
        <w:rPr>
          <w:b/>
        </w:rPr>
        <w:t xml:space="preserve"> Redesign of the Residential Billing Format</w:t>
      </w:r>
    </w:p>
    <w:p w:rsidR="003D5517" w:rsidRDefault="003D5517" w:rsidP="003D5517">
      <w:pPr>
        <w:pStyle w:val="ListParagraph"/>
        <w:numPr>
          <w:ilvl w:val="0"/>
          <w:numId w:val="2"/>
        </w:numPr>
        <w:spacing w:after="0" w:line="240" w:lineRule="auto"/>
      </w:pPr>
      <w:r>
        <w:t xml:space="preserve">Decision dated </w:t>
      </w:r>
      <w:r w:rsidR="00F01A55">
        <w:t>January</w:t>
      </w:r>
      <w:r>
        <w:t xml:space="preserve"> </w:t>
      </w:r>
      <w:r w:rsidR="00F01A55">
        <w:t>2</w:t>
      </w:r>
      <w:r>
        <w:t>1, 2015</w:t>
      </w:r>
    </w:p>
    <w:p w:rsidR="000E4197" w:rsidRPr="000E4197" w:rsidRDefault="000E4197" w:rsidP="000E4197">
      <w:pPr>
        <w:pStyle w:val="ListParagraph"/>
        <w:numPr>
          <w:ilvl w:val="0"/>
          <w:numId w:val="2"/>
        </w:numPr>
        <w:spacing w:after="0" w:line="240" w:lineRule="auto"/>
      </w:pPr>
      <w:r w:rsidRPr="000E4197">
        <w:t>Decision dated January 21, 2015</w:t>
      </w:r>
    </w:p>
    <w:p w:rsidR="000E4197" w:rsidRPr="000E4197" w:rsidRDefault="000E4197" w:rsidP="000E4197">
      <w:pPr>
        <w:pStyle w:val="ListParagraph"/>
        <w:numPr>
          <w:ilvl w:val="0"/>
          <w:numId w:val="2"/>
        </w:numPr>
        <w:spacing w:after="0" w:line="240" w:lineRule="auto"/>
      </w:pPr>
      <w:r w:rsidRPr="000E4197">
        <w:t>Guidelines for implementing the Supply Summary</w:t>
      </w:r>
    </w:p>
    <w:p w:rsidR="000E4197" w:rsidRPr="000E4197" w:rsidRDefault="000E4197" w:rsidP="000E4197">
      <w:pPr>
        <w:pStyle w:val="ListParagraph"/>
        <w:numPr>
          <w:ilvl w:val="0"/>
          <w:numId w:val="2"/>
        </w:numPr>
        <w:spacing w:after="0" w:line="240" w:lineRule="auto"/>
      </w:pPr>
      <w:r w:rsidRPr="000E4197">
        <w:t>Directed the EBT Working Group to develop EDI standards to implement the guidelines</w:t>
      </w:r>
    </w:p>
    <w:p w:rsidR="000E4197" w:rsidRPr="000E4197" w:rsidRDefault="000E4197" w:rsidP="000E4197">
      <w:pPr>
        <w:pStyle w:val="ListParagraph"/>
        <w:numPr>
          <w:ilvl w:val="0"/>
          <w:numId w:val="2"/>
        </w:numPr>
        <w:spacing w:after="0" w:line="240" w:lineRule="auto"/>
      </w:pPr>
      <w:r w:rsidRPr="000E4197">
        <w:t>Eliminated Variable-Daily and Variable-Weekly residential rates</w:t>
      </w:r>
    </w:p>
    <w:p w:rsidR="000E4197" w:rsidRPr="000E4197" w:rsidRDefault="000E4197" w:rsidP="000E4197">
      <w:pPr>
        <w:pStyle w:val="ListParagraph"/>
        <w:numPr>
          <w:ilvl w:val="0"/>
          <w:numId w:val="2"/>
        </w:numPr>
        <w:spacing w:after="0" w:line="240" w:lineRule="auto"/>
      </w:pPr>
      <w:r w:rsidRPr="000E4197">
        <w:t>Approved cost recovery to implement Supply Summary through Distribution rates – cost borne by ratepayers</w:t>
      </w:r>
    </w:p>
    <w:p w:rsidR="003D5517" w:rsidRDefault="003D5517" w:rsidP="008974E2">
      <w:pPr>
        <w:spacing w:after="0" w:line="240" w:lineRule="auto"/>
      </w:pPr>
    </w:p>
    <w:p w:rsidR="003D5517" w:rsidRDefault="003D5517" w:rsidP="00EB7B0E">
      <w:pPr>
        <w:pStyle w:val="Heading2"/>
      </w:pPr>
      <w:bookmarkStart w:id="24" w:name="_Toc63413942"/>
      <w:r>
        <w:t>14-07-19RE01</w:t>
      </w:r>
      <w:bookmarkEnd w:id="24"/>
    </w:p>
    <w:p w:rsidR="003D5517" w:rsidRDefault="003D5517" w:rsidP="003D5517">
      <w:pPr>
        <w:rPr>
          <w:b/>
        </w:rPr>
      </w:pPr>
      <w:r>
        <w:rPr>
          <w:b/>
        </w:rPr>
        <w:t xml:space="preserve">PURA Investigation </w:t>
      </w:r>
      <w:proofErr w:type="gramStart"/>
      <w:r>
        <w:rPr>
          <w:b/>
        </w:rPr>
        <w:t>Into</w:t>
      </w:r>
      <w:proofErr w:type="gramEnd"/>
      <w:r>
        <w:rPr>
          <w:b/>
        </w:rPr>
        <w:t xml:space="preserve"> Redesign of the Residential Billing Format – Billing Format Clarifications</w:t>
      </w:r>
    </w:p>
    <w:p w:rsidR="0093025D" w:rsidRPr="00A24AFB" w:rsidRDefault="003D5517" w:rsidP="00A24AFB">
      <w:pPr>
        <w:pStyle w:val="ListParagraph"/>
        <w:numPr>
          <w:ilvl w:val="0"/>
          <w:numId w:val="2"/>
        </w:numPr>
        <w:spacing w:after="0" w:line="240" w:lineRule="auto"/>
      </w:pPr>
      <w:r>
        <w:t xml:space="preserve">Decision dated </w:t>
      </w:r>
      <w:r w:rsidR="002C59C3">
        <w:t>April</w:t>
      </w:r>
      <w:r>
        <w:t xml:space="preserve"> 1</w:t>
      </w:r>
      <w:r w:rsidR="002C59C3">
        <w:t>2</w:t>
      </w:r>
      <w:r>
        <w:t>, 2015</w:t>
      </w:r>
      <w:r w:rsidR="00FA50AA" w:rsidRPr="00A24AFB">
        <w:t>Issues not identified in the January 21</w:t>
      </w:r>
      <w:r w:rsidR="00FA50AA" w:rsidRPr="00A24AFB">
        <w:rPr>
          <w:vertAlign w:val="superscript"/>
        </w:rPr>
        <w:t>st</w:t>
      </w:r>
      <w:r w:rsidR="00FA50AA" w:rsidRPr="00A24AFB">
        <w:t xml:space="preserve"> Decision or that needed clarification</w:t>
      </w:r>
    </w:p>
    <w:p w:rsidR="0093025D" w:rsidRPr="00A24AFB" w:rsidRDefault="00FA50AA" w:rsidP="00480380">
      <w:pPr>
        <w:pStyle w:val="ListParagraph"/>
        <w:numPr>
          <w:ilvl w:val="0"/>
          <w:numId w:val="14"/>
        </w:numPr>
        <w:ind w:left="1080"/>
      </w:pPr>
      <w:r w:rsidRPr="00A24AFB">
        <w:t>Supply Summary under direct billing</w:t>
      </w:r>
    </w:p>
    <w:p w:rsidR="0093025D" w:rsidRPr="00A24AFB" w:rsidRDefault="00FA50AA" w:rsidP="00480380">
      <w:pPr>
        <w:pStyle w:val="ListParagraph"/>
        <w:numPr>
          <w:ilvl w:val="0"/>
          <w:numId w:val="14"/>
        </w:numPr>
        <w:ind w:left="1080"/>
      </w:pPr>
      <w:r w:rsidRPr="00A24AFB">
        <w:t>Incidental Residential Accounts (IRA)</w:t>
      </w:r>
    </w:p>
    <w:p w:rsidR="0093025D" w:rsidRPr="00A24AFB" w:rsidRDefault="00FA50AA" w:rsidP="00480380">
      <w:pPr>
        <w:pStyle w:val="ListParagraph"/>
        <w:numPr>
          <w:ilvl w:val="0"/>
          <w:numId w:val="14"/>
        </w:numPr>
        <w:ind w:left="1080"/>
      </w:pPr>
      <w:r w:rsidRPr="00A24AFB">
        <w:t>Next Cycle Rate &amp; adjusting that rate</w:t>
      </w:r>
    </w:p>
    <w:p w:rsidR="0093025D" w:rsidRPr="00A24AFB" w:rsidRDefault="00FA50AA" w:rsidP="00480380">
      <w:pPr>
        <w:pStyle w:val="ListParagraph"/>
        <w:numPr>
          <w:ilvl w:val="0"/>
          <w:numId w:val="14"/>
        </w:numPr>
        <w:ind w:left="1080"/>
      </w:pPr>
      <w:r w:rsidRPr="00A24AFB">
        <w:t>How to display the Standard Service rate when the rate is changing</w:t>
      </w:r>
    </w:p>
    <w:p w:rsidR="0093025D" w:rsidRPr="00A24AFB" w:rsidRDefault="00FA50AA" w:rsidP="00480380">
      <w:pPr>
        <w:pStyle w:val="ListParagraph"/>
        <w:numPr>
          <w:ilvl w:val="0"/>
          <w:numId w:val="14"/>
        </w:numPr>
        <w:ind w:left="1080"/>
      </w:pPr>
      <w:r w:rsidRPr="00A24AFB">
        <w:t>Issues where the EBT Working Group needed clarification</w:t>
      </w:r>
    </w:p>
    <w:p w:rsidR="0093025D" w:rsidRPr="00A24AFB" w:rsidRDefault="00FA50AA" w:rsidP="006E3B8B">
      <w:pPr>
        <w:pStyle w:val="ListParagraph"/>
        <w:numPr>
          <w:ilvl w:val="0"/>
          <w:numId w:val="18"/>
        </w:numPr>
      </w:pPr>
      <w:r w:rsidRPr="00A24AFB">
        <w:t>Supply Summary implemented in two phases</w:t>
      </w:r>
    </w:p>
    <w:p w:rsidR="0093025D" w:rsidRPr="00A24AFB" w:rsidRDefault="00FA50AA" w:rsidP="00480380">
      <w:pPr>
        <w:pStyle w:val="ListParagraph"/>
        <w:numPr>
          <w:ilvl w:val="0"/>
          <w:numId w:val="14"/>
        </w:numPr>
        <w:ind w:left="1080"/>
      </w:pPr>
      <w:r w:rsidRPr="00A24AFB">
        <w:t>Phase I – July 2015 EDC-controlled data</w:t>
      </w:r>
    </w:p>
    <w:p w:rsidR="0093025D" w:rsidRPr="00A24AFB" w:rsidRDefault="00FA50AA" w:rsidP="00480380">
      <w:pPr>
        <w:pStyle w:val="ListParagraph"/>
        <w:numPr>
          <w:ilvl w:val="0"/>
          <w:numId w:val="14"/>
        </w:numPr>
        <w:ind w:left="1080"/>
      </w:pPr>
      <w:r w:rsidRPr="00A24AFB">
        <w:t>Phase II – January 2016 Supplier-controlled data</w:t>
      </w:r>
    </w:p>
    <w:p w:rsidR="003D5517" w:rsidRDefault="003D5517" w:rsidP="00EB7B0E">
      <w:pPr>
        <w:pStyle w:val="Heading2"/>
      </w:pPr>
      <w:bookmarkStart w:id="25" w:name="_Toc63413943"/>
      <w:r>
        <w:t>14-07-19RE05</w:t>
      </w:r>
      <w:bookmarkEnd w:id="25"/>
    </w:p>
    <w:p w:rsidR="003D5517" w:rsidRDefault="003D5517" w:rsidP="003D5517">
      <w:pPr>
        <w:rPr>
          <w:b/>
        </w:rPr>
      </w:pPr>
      <w:r>
        <w:rPr>
          <w:b/>
        </w:rPr>
        <w:t xml:space="preserve">PURA Investigation </w:t>
      </w:r>
      <w:proofErr w:type="gramStart"/>
      <w:r>
        <w:rPr>
          <w:b/>
        </w:rPr>
        <w:t>Into</w:t>
      </w:r>
      <w:proofErr w:type="gramEnd"/>
      <w:r>
        <w:rPr>
          <w:b/>
        </w:rPr>
        <w:t xml:space="preserve"> Redesign of the Residential Billing Format – Review of Summary Information, Implementation and Display</w:t>
      </w:r>
    </w:p>
    <w:p w:rsidR="0093025D" w:rsidRPr="00247F8E" w:rsidRDefault="003D5517" w:rsidP="00247F8E">
      <w:pPr>
        <w:pStyle w:val="ListParagraph"/>
        <w:numPr>
          <w:ilvl w:val="0"/>
          <w:numId w:val="2"/>
        </w:numPr>
        <w:spacing w:after="0" w:line="240" w:lineRule="auto"/>
      </w:pPr>
      <w:r>
        <w:t xml:space="preserve">Decision dated </w:t>
      </w:r>
      <w:r w:rsidR="0044508F">
        <w:t xml:space="preserve">December </w:t>
      </w:r>
      <w:r>
        <w:t>1</w:t>
      </w:r>
      <w:r w:rsidR="0044508F">
        <w:t>9</w:t>
      </w:r>
      <w:r>
        <w:t>, 201</w:t>
      </w:r>
      <w:r w:rsidR="0044508F">
        <w:t>8</w:t>
      </w:r>
      <w:r w:rsidR="00FA50AA" w:rsidRPr="00247F8E">
        <w:t>Initiated to determine compliance with Supply Summary requirements</w:t>
      </w:r>
    </w:p>
    <w:p w:rsidR="0093025D" w:rsidRPr="00247F8E" w:rsidRDefault="00FA50AA" w:rsidP="00247F8E">
      <w:pPr>
        <w:pStyle w:val="ListParagraph"/>
        <w:numPr>
          <w:ilvl w:val="0"/>
          <w:numId w:val="2"/>
        </w:numPr>
        <w:spacing w:line="240" w:lineRule="auto"/>
      </w:pPr>
      <w:r w:rsidRPr="00247F8E">
        <w:t>Necessary to strengthen the rules governing the transmittal of supplier-controlled Supply Summary information</w:t>
      </w:r>
    </w:p>
    <w:p w:rsidR="0093025D" w:rsidRPr="00247F8E" w:rsidRDefault="00FA50AA" w:rsidP="00471900">
      <w:pPr>
        <w:pStyle w:val="ListParagraph"/>
        <w:numPr>
          <w:ilvl w:val="0"/>
          <w:numId w:val="20"/>
        </w:numPr>
        <w:spacing w:line="240" w:lineRule="auto"/>
        <w:ind w:left="1080"/>
      </w:pPr>
      <w:r w:rsidRPr="00247F8E">
        <w:t xml:space="preserve">Complete overhaul of the data exchange process </w:t>
      </w:r>
    </w:p>
    <w:p w:rsidR="0093025D" w:rsidRPr="00247F8E" w:rsidRDefault="00FA50AA" w:rsidP="00471900">
      <w:pPr>
        <w:pStyle w:val="ListParagraph"/>
        <w:numPr>
          <w:ilvl w:val="0"/>
          <w:numId w:val="20"/>
        </w:numPr>
        <w:spacing w:line="240" w:lineRule="auto"/>
        <w:ind w:left="1080"/>
      </w:pPr>
      <w:r w:rsidRPr="00247F8E">
        <w:t>EDCs to implement enrollment rejection</w:t>
      </w:r>
    </w:p>
    <w:p w:rsidR="0093025D" w:rsidRPr="00247F8E" w:rsidRDefault="00FA50AA" w:rsidP="00471900">
      <w:pPr>
        <w:pStyle w:val="ListParagraph"/>
        <w:numPr>
          <w:ilvl w:val="0"/>
          <w:numId w:val="20"/>
        </w:numPr>
        <w:spacing w:line="240" w:lineRule="auto"/>
        <w:ind w:left="1080"/>
      </w:pPr>
      <w:r w:rsidRPr="00247F8E">
        <w:t>Supply Summary data must be provided with each enrollment</w:t>
      </w:r>
    </w:p>
    <w:p w:rsidR="0093025D" w:rsidRPr="00247F8E" w:rsidRDefault="00FA50AA" w:rsidP="00471900">
      <w:pPr>
        <w:pStyle w:val="ListParagraph"/>
        <w:numPr>
          <w:ilvl w:val="0"/>
          <w:numId w:val="20"/>
        </w:numPr>
        <w:spacing w:line="240" w:lineRule="auto"/>
        <w:ind w:left="1080"/>
      </w:pPr>
      <w:r w:rsidRPr="00247F8E">
        <w:t>Customers will be returned to Standard Service under certain conditions</w:t>
      </w:r>
    </w:p>
    <w:p w:rsidR="0093025D" w:rsidRPr="00247F8E" w:rsidRDefault="00FA50AA" w:rsidP="00471900">
      <w:pPr>
        <w:pStyle w:val="ListParagraph"/>
        <w:numPr>
          <w:ilvl w:val="0"/>
          <w:numId w:val="20"/>
        </w:numPr>
        <w:spacing w:line="240" w:lineRule="auto"/>
        <w:ind w:left="1080"/>
      </w:pPr>
      <w:r w:rsidRPr="00247F8E">
        <w:t>IRA account identification</w:t>
      </w:r>
    </w:p>
    <w:p w:rsidR="0093025D" w:rsidRPr="00247F8E" w:rsidRDefault="00FA50AA" w:rsidP="00471900">
      <w:pPr>
        <w:pStyle w:val="ListParagraph"/>
        <w:numPr>
          <w:ilvl w:val="0"/>
          <w:numId w:val="20"/>
        </w:numPr>
        <w:spacing w:line="240" w:lineRule="auto"/>
        <w:ind w:left="1080"/>
      </w:pPr>
      <w:r w:rsidRPr="00247F8E">
        <w:t xml:space="preserve">Revised the EDI timing of the Next Cycle Rate and locked the rate </w:t>
      </w:r>
    </w:p>
    <w:p w:rsidR="0093025D" w:rsidRPr="00247F8E" w:rsidRDefault="00FA50AA" w:rsidP="00471900">
      <w:pPr>
        <w:pStyle w:val="ListParagraph"/>
        <w:numPr>
          <w:ilvl w:val="0"/>
          <w:numId w:val="20"/>
        </w:numPr>
        <w:spacing w:line="240" w:lineRule="auto"/>
        <w:ind w:left="1080"/>
      </w:pPr>
      <w:r w:rsidRPr="00247F8E">
        <w:t>Adjustment to the Next Cycle Rate</w:t>
      </w:r>
    </w:p>
    <w:p w:rsidR="0093025D" w:rsidRPr="00247F8E" w:rsidRDefault="00FA50AA" w:rsidP="00471900">
      <w:pPr>
        <w:pStyle w:val="ListParagraph"/>
        <w:numPr>
          <w:ilvl w:val="0"/>
          <w:numId w:val="20"/>
        </w:numPr>
        <w:spacing w:line="240" w:lineRule="auto"/>
        <w:ind w:left="1080"/>
      </w:pPr>
      <w:r w:rsidRPr="00247F8E">
        <w:t>EDC communications program – increase awareness about Supply Summary</w:t>
      </w:r>
    </w:p>
    <w:p w:rsidR="00CD1765" w:rsidRDefault="00FA50AA" w:rsidP="00471900">
      <w:pPr>
        <w:pStyle w:val="ListParagraph"/>
        <w:numPr>
          <w:ilvl w:val="0"/>
          <w:numId w:val="20"/>
        </w:numPr>
        <w:spacing w:line="240" w:lineRule="auto"/>
        <w:ind w:left="1080"/>
      </w:pPr>
      <w:r w:rsidRPr="00247F8E">
        <w:t xml:space="preserve">Cost to </w:t>
      </w:r>
      <w:r w:rsidR="00210B43">
        <w:t xml:space="preserve">implement changes will </w:t>
      </w:r>
      <w:r w:rsidRPr="00247F8E">
        <w:t>be borne by suppliers</w:t>
      </w:r>
    </w:p>
    <w:p w:rsidR="00CD1765" w:rsidRDefault="00CD1765">
      <w:r>
        <w:br w:type="page"/>
      </w:r>
    </w:p>
    <w:p w:rsidR="00E34DF4" w:rsidRPr="001858AE" w:rsidRDefault="00E34DF4" w:rsidP="00EB7B0E">
      <w:pPr>
        <w:pStyle w:val="Heading2"/>
      </w:pPr>
      <w:bookmarkStart w:id="26" w:name="_Toc63413944"/>
      <w:r w:rsidRPr="001858AE">
        <w:lastRenderedPageBreak/>
        <w:t>1</w:t>
      </w:r>
      <w:r>
        <w:t>5</w:t>
      </w:r>
      <w:r w:rsidRPr="001858AE">
        <w:t>-06-</w:t>
      </w:r>
      <w:r>
        <w:t>15</w:t>
      </w:r>
      <w:bookmarkEnd w:id="26"/>
    </w:p>
    <w:p w:rsidR="00E34DF4" w:rsidRPr="001858AE" w:rsidRDefault="00E34DF4" w:rsidP="00E34DF4">
      <w:pPr>
        <w:spacing w:after="0" w:line="240" w:lineRule="auto"/>
        <w:rPr>
          <w:b/>
        </w:rPr>
      </w:pPr>
      <w:r>
        <w:rPr>
          <w:b/>
        </w:rPr>
        <w:t xml:space="preserve">PURA Variable Rate Study </w:t>
      </w:r>
      <w:r w:rsidRPr="001858AE">
        <w:rPr>
          <w:b/>
        </w:rPr>
        <w:t>DPUC</w:t>
      </w:r>
    </w:p>
    <w:p w:rsidR="00E34DF4" w:rsidRPr="001858AE" w:rsidRDefault="00E34DF4" w:rsidP="00E34DF4">
      <w:pPr>
        <w:spacing w:after="0" w:line="240" w:lineRule="auto"/>
      </w:pPr>
    </w:p>
    <w:p w:rsidR="00E34DF4" w:rsidRDefault="00E34DF4" w:rsidP="00792790">
      <w:pPr>
        <w:pStyle w:val="ListParagraph"/>
        <w:numPr>
          <w:ilvl w:val="0"/>
          <w:numId w:val="2"/>
        </w:numPr>
        <w:spacing w:after="0" w:line="240" w:lineRule="auto"/>
        <w:ind w:left="360"/>
      </w:pPr>
      <w:r>
        <w:t xml:space="preserve">Decision dated </w:t>
      </w:r>
      <w:r w:rsidR="00BB3457">
        <w:t>September 30, 2015</w:t>
      </w:r>
    </w:p>
    <w:p w:rsidR="00E34DF4" w:rsidRDefault="00BB3457" w:rsidP="00792790">
      <w:pPr>
        <w:pStyle w:val="ListParagraph"/>
        <w:numPr>
          <w:ilvl w:val="0"/>
          <w:numId w:val="2"/>
        </w:numPr>
        <w:spacing w:after="0" w:line="240" w:lineRule="auto"/>
        <w:ind w:left="360"/>
      </w:pPr>
      <w:r>
        <w:t xml:space="preserve">Guidance for implementing </w:t>
      </w:r>
      <w:r w:rsidR="00D346F1">
        <w:t>the ban on residential variable rates</w:t>
      </w:r>
    </w:p>
    <w:p w:rsidR="00D346F1" w:rsidRDefault="00D346F1" w:rsidP="00792790">
      <w:pPr>
        <w:pStyle w:val="ListParagraph"/>
        <w:numPr>
          <w:ilvl w:val="0"/>
          <w:numId w:val="2"/>
        </w:numPr>
        <w:spacing w:after="0" w:line="240" w:lineRule="auto"/>
        <w:ind w:left="360"/>
      </w:pPr>
      <w:r>
        <w:t>Residential contracts entered into on and after October 1, 2015 may not include variable pricing</w:t>
      </w:r>
    </w:p>
    <w:p w:rsidR="00D346F1" w:rsidRDefault="00D346F1" w:rsidP="00792790">
      <w:pPr>
        <w:pStyle w:val="ListParagraph"/>
        <w:numPr>
          <w:ilvl w:val="0"/>
          <w:numId w:val="2"/>
        </w:numPr>
        <w:spacing w:after="0" w:line="240" w:lineRule="auto"/>
        <w:ind w:left="360"/>
      </w:pPr>
      <w:r>
        <w:t>Business contracts can include variable rates</w:t>
      </w:r>
    </w:p>
    <w:p w:rsidR="00D346F1" w:rsidRDefault="00D346F1" w:rsidP="00792790">
      <w:pPr>
        <w:pStyle w:val="ListParagraph"/>
        <w:numPr>
          <w:ilvl w:val="0"/>
          <w:numId w:val="2"/>
        </w:numPr>
        <w:spacing w:after="0" w:line="240" w:lineRule="auto"/>
        <w:ind w:left="360"/>
      </w:pPr>
      <w:r>
        <w:t>Fixed rate contracts must be no less than four billing cycles</w:t>
      </w:r>
    </w:p>
    <w:p w:rsidR="00F6276B" w:rsidRDefault="00F6276B" w:rsidP="00F6276B">
      <w:pPr>
        <w:spacing w:after="0" w:line="240" w:lineRule="auto"/>
      </w:pPr>
    </w:p>
    <w:p w:rsidR="00F6276B" w:rsidRPr="00DA09A5" w:rsidRDefault="00F6276B" w:rsidP="00A45FCE">
      <w:pPr>
        <w:pStyle w:val="Heading2"/>
      </w:pPr>
      <w:bookmarkStart w:id="27" w:name="_Toc63413945"/>
      <w:r w:rsidRPr="00DA09A5">
        <w:t>16-12-29</w:t>
      </w:r>
      <w:bookmarkEnd w:id="27"/>
    </w:p>
    <w:p w:rsidR="00F6276B" w:rsidRDefault="00792790" w:rsidP="00F6276B">
      <w:pPr>
        <w:spacing w:after="0" w:line="240" w:lineRule="auto"/>
        <w:rPr>
          <w:b/>
        </w:rPr>
      </w:pPr>
      <w:r w:rsidRPr="00792790">
        <w:rPr>
          <w:b/>
        </w:rPr>
        <w:t>PURA Development of Voluntary Renewable Options Program</w:t>
      </w:r>
    </w:p>
    <w:p w:rsidR="00792790" w:rsidRDefault="00792790" w:rsidP="00F6276B">
      <w:pPr>
        <w:spacing w:after="0" w:line="240" w:lineRule="auto"/>
      </w:pPr>
    </w:p>
    <w:p w:rsidR="00792790" w:rsidRDefault="00357CD1" w:rsidP="00792790">
      <w:pPr>
        <w:pStyle w:val="ListParagraph"/>
        <w:numPr>
          <w:ilvl w:val="0"/>
          <w:numId w:val="2"/>
        </w:numPr>
        <w:spacing w:after="0" w:line="240" w:lineRule="auto"/>
        <w:ind w:left="360"/>
      </w:pPr>
      <w:r>
        <w:t>Decision dated October 21</w:t>
      </w:r>
      <w:r w:rsidR="00792790">
        <w:t>, 2020</w:t>
      </w:r>
    </w:p>
    <w:p w:rsidR="00792790" w:rsidRDefault="00792790" w:rsidP="00792790">
      <w:pPr>
        <w:pStyle w:val="ListParagraph"/>
        <w:numPr>
          <w:ilvl w:val="0"/>
          <w:numId w:val="2"/>
        </w:numPr>
        <w:spacing w:after="0" w:line="240" w:lineRule="auto"/>
        <w:ind w:left="360"/>
      </w:pPr>
      <w:r>
        <w:t>Modified the Disclosure Label used for all supply offers including Standard Service</w:t>
      </w:r>
    </w:p>
    <w:p w:rsidR="00792790" w:rsidRDefault="00792790" w:rsidP="00792790">
      <w:pPr>
        <w:pStyle w:val="ListParagraph"/>
        <w:numPr>
          <w:ilvl w:val="0"/>
          <w:numId w:val="2"/>
        </w:numPr>
        <w:spacing w:after="0" w:line="240" w:lineRule="auto"/>
        <w:ind w:left="360"/>
      </w:pPr>
      <w:r>
        <w:t>Approved a modified Clean Energy Options Program</w:t>
      </w:r>
    </w:p>
    <w:p w:rsidR="00792790" w:rsidRDefault="00792790" w:rsidP="00792790">
      <w:pPr>
        <w:pStyle w:val="ListParagraph"/>
        <w:numPr>
          <w:ilvl w:val="0"/>
          <w:numId w:val="2"/>
        </w:numPr>
        <w:spacing w:after="0" w:line="240" w:lineRule="auto"/>
        <w:ind w:left="360"/>
      </w:pPr>
      <w:r>
        <w:t>Established rules and Disclosure Label for supply offers that market renewable energy certificates in excess of the then current RPS.</w:t>
      </w:r>
      <w:bookmarkStart w:id="28" w:name="_GoBack"/>
      <w:bookmarkEnd w:id="28"/>
    </w:p>
    <w:sectPr w:rsidR="0079279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593" w:rsidRDefault="00697593" w:rsidP="00F013D8">
      <w:pPr>
        <w:spacing w:after="0" w:line="240" w:lineRule="auto"/>
      </w:pPr>
      <w:r>
        <w:separator/>
      </w:r>
    </w:p>
  </w:endnote>
  <w:endnote w:type="continuationSeparator" w:id="0">
    <w:p w:rsidR="00697593" w:rsidRDefault="00697593" w:rsidP="00F0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974017"/>
      <w:docPartObj>
        <w:docPartGallery w:val="Page Numbers (Bottom of Page)"/>
        <w:docPartUnique/>
      </w:docPartObj>
    </w:sdtPr>
    <w:sdtEndPr>
      <w:rPr>
        <w:noProof/>
      </w:rPr>
    </w:sdtEndPr>
    <w:sdtContent>
      <w:p w:rsidR="00F013D8" w:rsidRDefault="00F013D8">
        <w:pPr>
          <w:pStyle w:val="Footer"/>
          <w:jc w:val="center"/>
        </w:pPr>
        <w:r>
          <w:fldChar w:fldCharType="begin"/>
        </w:r>
        <w:r>
          <w:instrText xml:space="preserve"> PAGE   \* MERGEFORMAT </w:instrText>
        </w:r>
        <w:r>
          <w:fldChar w:fldCharType="separate"/>
        </w:r>
        <w:r w:rsidR="00CD1765">
          <w:rPr>
            <w:noProof/>
          </w:rPr>
          <w:t>9</w:t>
        </w:r>
        <w:r>
          <w:rPr>
            <w:noProof/>
          </w:rPr>
          <w:fldChar w:fldCharType="end"/>
        </w:r>
      </w:p>
    </w:sdtContent>
  </w:sdt>
  <w:p w:rsidR="00F013D8" w:rsidRDefault="00F01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593" w:rsidRDefault="00697593" w:rsidP="00F013D8">
      <w:pPr>
        <w:spacing w:after="0" w:line="240" w:lineRule="auto"/>
      </w:pPr>
      <w:r>
        <w:separator/>
      </w:r>
    </w:p>
  </w:footnote>
  <w:footnote w:type="continuationSeparator" w:id="0">
    <w:p w:rsidR="00697593" w:rsidRDefault="00697593" w:rsidP="00F013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265"/>
    <w:multiLevelType w:val="hybridMultilevel"/>
    <w:tmpl w:val="2BAA8A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151EA"/>
    <w:multiLevelType w:val="hybridMultilevel"/>
    <w:tmpl w:val="869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95E5F"/>
    <w:multiLevelType w:val="hybridMultilevel"/>
    <w:tmpl w:val="7864F2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F1751"/>
    <w:multiLevelType w:val="hybridMultilevel"/>
    <w:tmpl w:val="6E44A674"/>
    <w:lvl w:ilvl="0" w:tplc="258020EE">
      <w:start w:val="1"/>
      <w:numFmt w:val="bullet"/>
      <w:lvlText w:val="•"/>
      <w:lvlJc w:val="left"/>
      <w:pPr>
        <w:tabs>
          <w:tab w:val="num" w:pos="720"/>
        </w:tabs>
        <w:ind w:left="720" w:hanging="360"/>
      </w:pPr>
      <w:rPr>
        <w:rFonts w:ascii="Arial" w:hAnsi="Arial" w:hint="default"/>
      </w:rPr>
    </w:lvl>
    <w:lvl w:ilvl="1" w:tplc="C64E4748" w:tentative="1">
      <w:start w:val="1"/>
      <w:numFmt w:val="bullet"/>
      <w:lvlText w:val="•"/>
      <w:lvlJc w:val="left"/>
      <w:pPr>
        <w:tabs>
          <w:tab w:val="num" w:pos="1440"/>
        </w:tabs>
        <w:ind w:left="1440" w:hanging="360"/>
      </w:pPr>
      <w:rPr>
        <w:rFonts w:ascii="Arial" w:hAnsi="Arial" w:hint="default"/>
      </w:rPr>
    </w:lvl>
    <w:lvl w:ilvl="2" w:tplc="26DE7C36" w:tentative="1">
      <w:start w:val="1"/>
      <w:numFmt w:val="bullet"/>
      <w:lvlText w:val="•"/>
      <w:lvlJc w:val="left"/>
      <w:pPr>
        <w:tabs>
          <w:tab w:val="num" w:pos="2160"/>
        </w:tabs>
        <w:ind w:left="2160" w:hanging="360"/>
      </w:pPr>
      <w:rPr>
        <w:rFonts w:ascii="Arial" w:hAnsi="Arial" w:hint="default"/>
      </w:rPr>
    </w:lvl>
    <w:lvl w:ilvl="3" w:tplc="BE24FEF8" w:tentative="1">
      <w:start w:val="1"/>
      <w:numFmt w:val="bullet"/>
      <w:lvlText w:val="•"/>
      <w:lvlJc w:val="left"/>
      <w:pPr>
        <w:tabs>
          <w:tab w:val="num" w:pos="2880"/>
        </w:tabs>
        <w:ind w:left="2880" w:hanging="360"/>
      </w:pPr>
      <w:rPr>
        <w:rFonts w:ascii="Arial" w:hAnsi="Arial" w:hint="default"/>
      </w:rPr>
    </w:lvl>
    <w:lvl w:ilvl="4" w:tplc="010A4BEC" w:tentative="1">
      <w:start w:val="1"/>
      <w:numFmt w:val="bullet"/>
      <w:lvlText w:val="•"/>
      <w:lvlJc w:val="left"/>
      <w:pPr>
        <w:tabs>
          <w:tab w:val="num" w:pos="3600"/>
        </w:tabs>
        <w:ind w:left="3600" w:hanging="360"/>
      </w:pPr>
      <w:rPr>
        <w:rFonts w:ascii="Arial" w:hAnsi="Arial" w:hint="default"/>
      </w:rPr>
    </w:lvl>
    <w:lvl w:ilvl="5" w:tplc="12580EA4" w:tentative="1">
      <w:start w:val="1"/>
      <w:numFmt w:val="bullet"/>
      <w:lvlText w:val="•"/>
      <w:lvlJc w:val="left"/>
      <w:pPr>
        <w:tabs>
          <w:tab w:val="num" w:pos="4320"/>
        </w:tabs>
        <w:ind w:left="4320" w:hanging="360"/>
      </w:pPr>
      <w:rPr>
        <w:rFonts w:ascii="Arial" w:hAnsi="Arial" w:hint="default"/>
      </w:rPr>
    </w:lvl>
    <w:lvl w:ilvl="6" w:tplc="04709B5A" w:tentative="1">
      <w:start w:val="1"/>
      <w:numFmt w:val="bullet"/>
      <w:lvlText w:val="•"/>
      <w:lvlJc w:val="left"/>
      <w:pPr>
        <w:tabs>
          <w:tab w:val="num" w:pos="5040"/>
        </w:tabs>
        <w:ind w:left="5040" w:hanging="360"/>
      </w:pPr>
      <w:rPr>
        <w:rFonts w:ascii="Arial" w:hAnsi="Arial" w:hint="default"/>
      </w:rPr>
    </w:lvl>
    <w:lvl w:ilvl="7" w:tplc="4176B1F2" w:tentative="1">
      <w:start w:val="1"/>
      <w:numFmt w:val="bullet"/>
      <w:lvlText w:val="•"/>
      <w:lvlJc w:val="left"/>
      <w:pPr>
        <w:tabs>
          <w:tab w:val="num" w:pos="5760"/>
        </w:tabs>
        <w:ind w:left="5760" w:hanging="360"/>
      </w:pPr>
      <w:rPr>
        <w:rFonts w:ascii="Arial" w:hAnsi="Arial" w:hint="default"/>
      </w:rPr>
    </w:lvl>
    <w:lvl w:ilvl="8" w:tplc="4782AD0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965B3D"/>
    <w:multiLevelType w:val="hybridMultilevel"/>
    <w:tmpl w:val="0AACE0C0"/>
    <w:lvl w:ilvl="0" w:tplc="9F3EA4DC">
      <w:start w:val="1"/>
      <w:numFmt w:val="bullet"/>
      <w:lvlText w:val="•"/>
      <w:lvlJc w:val="left"/>
      <w:pPr>
        <w:tabs>
          <w:tab w:val="num" w:pos="720"/>
        </w:tabs>
        <w:ind w:left="720" w:hanging="360"/>
      </w:pPr>
      <w:rPr>
        <w:rFonts w:ascii="Arial" w:hAnsi="Arial" w:hint="default"/>
      </w:rPr>
    </w:lvl>
    <w:lvl w:ilvl="1" w:tplc="FACC27FA">
      <w:start w:val="270"/>
      <w:numFmt w:val="bullet"/>
      <w:lvlText w:val="•"/>
      <w:lvlJc w:val="left"/>
      <w:pPr>
        <w:tabs>
          <w:tab w:val="num" w:pos="1440"/>
        </w:tabs>
        <w:ind w:left="1440" w:hanging="360"/>
      </w:pPr>
      <w:rPr>
        <w:rFonts w:ascii="Arial" w:hAnsi="Arial" w:hint="default"/>
      </w:rPr>
    </w:lvl>
    <w:lvl w:ilvl="2" w:tplc="FD9041BE" w:tentative="1">
      <w:start w:val="1"/>
      <w:numFmt w:val="bullet"/>
      <w:lvlText w:val="•"/>
      <w:lvlJc w:val="left"/>
      <w:pPr>
        <w:tabs>
          <w:tab w:val="num" w:pos="2160"/>
        </w:tabs>
        <w:ind w:left="2160" w:hanging="360"/>
      </w:pPr>
      <w:rPr>
        <w:rFonts w:ascii="Arial" w:hAnsi="Arial" w:hint="default"/>
      </w:rPr>
    </w:lvl>
    <w:lvl w:ilvl="3" w:tplc="9DE00776" w:tentative="1">
      <w:start w:val="1"/>
      <w:numFmt w:val="bullet"/>
      <w:lvlText w:val="•"/>
      <w:lvlJc w:val="left"/>
      <w:pPr>
        <w:tabs>
          <w:tab w:val="num" w:pos="2880"/>
        </w:tabs>
        <w:ind w:left="2880" w:hanging="360"/>
      </w:pPr>
      <w:rPr>
        <w:rFonts w:ascii="Arial" w:hAnsi="Arial" w:hint="default"/>
      </w:rPr>
    </w:lvl>
    <w:lvl w:ilvl="4" w:tplc="9B00BBEE" w:tentative="1">
      <w:start w:val="1"/>
      <w:numFmt w:val="bullet"/>
      <w:lvlText w:val="•"/>
      <w:lvlJc w:val="left"/>
      <w:pPr>
        <w:tabs>
          <w:tab w:val="num" w:pos="3600"/>
        </w:tabs>
        <w:ind w:left="3600" w:hanging="360"/>
      </w:pPr>
      <w:rPr>
        <w:rFonts w:ascii="Arial" w:hAnsi="Arial" w:hint="default"/>
      </w:rPr>
    </w:lvl>
    <w:lvl w:ilvl="5" w:tplc="36EA1544" w:tentative="1">
      <w:start w:val="1"/>
      <w:numFmt w:val="bullet"/>
      <w:lvlText w:val="•"/>
      <w:lvlJc w:val="left"/>
      <w:pPr>
        <w:tabs>
          <w:tab w:val="num" w:pos="4320"/>
        </w:tabs>
        <w:ind w:left="4320" w:hanging="360"/>
      </w:pPr>
      <w:rPr>
        <w:rFonts w:ascii="Arial" w:hAnsi="Arial" w:hint="default"/>
      </w:rPr>
    </w:lvl>
    <w:lvl w:ilvl="6" w:tplc="480C8AEE" w:tentative="1">
      <w:start w:val="1"/>
      <w:numFmt w:val="bullet"/>
      <w:lvlText w:val="•"/>
      <w:lvlJc w:val="left"/>
      <w:pPr>
        <w:tabs>
          <w:tab w:val="num" w:pos="5040"/>
        </w:tabs>
        <w:ind w:left="5040" w:hanging="360"/>
      </w:pPr>
      <w:rPr>
        <w:rFonts w:ascii="Arial" w:hAnsi="Arial" w:hint="default"/>
      </w:rPr>
    </w:lvl>
    <w:lvl w:ilvl="7" w:tplc="427CE868" w:tentative="1">
      <w:start w:val="1"/>
      <w:numFmt w:val="bullet"/>
      <w:lvlText w:val="•"/>
      <w:lvlJc w:val="left"/>
      <w:pPr>
        <w:tabs>
          <w:tab w:val="num" w:pos="5760"/>
        </w:tabs>
        <w:ind w:left="5760" w:hanging="360"/>
      </w:pPr>
      <w:rPr>
        <w:rFonts w:ascii="Arial" w:hAnsi="Arial" w:hint="default"/>
      </w:rPr>
    </w:lvl>
    <w:lvl w:ilvl="8" w:tplc="984AC5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2061D0"/>
    <w:multiLevelType w:val="hybridMultilevel"/>
    <w:tmpl w:val="455071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83740"/>
    <w:multiLevelType w:val="hybridMultilevel"/>
    <w:tmpl w:val="B312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E1EB5"/>
    <w:multiLevelType w:val="hybridMultilevel"/>
    <w:tmpl w:val="8CBA31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D4A10"/>
    <w:multiLevelType w:val="hybridMultilevel"/>
    <w:tmpl w:val="1B0C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41B8A"/>
    <w:multiLevelType w:val="hybridMultilevel"/>
    <w:tmpl w:val="6C902B5A"/>
    <w:lvl w:ilvl="0" w:tplc="773A8CCC">
      <w:start w:val="1"/>
      <w:numFmt w:val="bullet"/>
      <w:lvlText w:val=""/>
      <w:lvlJc w:val="left"/>
      <w:pPr>
        <w:tabs>
          <w:tab w:val="num" w:pos="720"/>
        </w:tabs>
        <w:ind w:left="720" w:hanging="360"/>
      </w:pPr>
      <w:rPr>
        <w:rFonts w:ascii="Wingdings" w:hAnsi="Wingdings" w:hint="default"/>
      </w:rPr>
    </w:lvl>
    <w:lvl w:ilvl="1" w:tplc="01DA8ACC">
      <w:start w:val="242"/>
      <w:numFmt w:val="bullet"/>
      <w:lvlText w:val="•"/>
      <w:lvlJc w:val="left"/>
      <w:pPr>
        <w:tabs>
          <w:tab w:val="num" w:pos="1440"/>
        </w:tabs>
        <w:ind w:left="1440" w:hanging="360"/>
      </w:pPr>
      <w:rPr>
        <w:rFonts w:ascii="Arial" w:hAnsi="Arial" w:hint="default"/>
      </w:rPr>
    </w:lvl>
    <w:lvl w:ilvl="2" w:tplc="3F864A5C" w:tentative="1">
      <w:start w:val="1"/>
      <w:numFmt w:val="bullet"/>
      <w:lvlText w:val=""/>
      <w:lvlJc w:val="left"/>
      <w:pPr>
        <w:tabs>
          <w:tab w:val="num" w:pos="2160"/>
        </w:tabs>
        <w:ind w:left="2160" w:hanging="360"/>
      </w:pPr>
      <w:rPr>
        <w:rFonts w:ascii="Wingdings" w:hAnsi="Wingdings" w:hint="default"/>
      </w:rPr>
    </w:lvl>
    <w:lvl w:ilvl="3" w:tplc="2640CB5E" w:tentative="1">
      <w:start w:val="1"/>
      <w:numFmt w:val="bullet"/>
      <w:lvlText w:val=""/>
      <w:lvlJc w:val="left"/>
      <w:pPr>
        <w:tabs>
          <w:tab w:val="num" w:pos="2880"/>
        </w:tabs>
        <w:ind w:left="2880" w:hanging="360"/>
      </w:pPr>
      <w:rPr>
        <w:rFonts w:ascii="Wingdings" w:hAnsi="Wingdings" w:hint="default"/>
      </w:rPr>
    </w:lvl>
    <w:lvl w:ilvl="4" w:tplc="4AAE88CE" w:tentative="1">
      <w:start w:val="1"/>
      <w:numFmt w:val="bullet"/>
      <w:lvlText w:val=""/>
      <w:lvlJc w:val="left"/>
      <w:pPr>
        <w:tabs>
          <w:tab w:val="num" w:pos="3600"/>
        </w:tabs>
        <w:ind w:left="3600" w:hanging="360"/>
      </w:pPr>
      <w:rPr>
        <w:rFonts w:ascii="Wingdings" w:hAnsi="Wingdings" w:hint="default"/>
      </w:rPr>
    </w:lvl>
    <w:lvl w:ilvl="5" w:tplc="B8AC23D8" w:tentative="1">
      <w:start w:val="1"/>
      <w:numFmt w:val="bullet"/>
      <w:lvlText w:val=""/>
      <w:lvlJc w:val="left"/>
      <w:pPr>
        <w:tabs>
          <w:tab w:val="num" w:pos="4320"/>
        </w:tabs>
        <w:ind w:left="4320" w:hanging="360"/>
      </w:pPr>
      <w:rPr>
        <w:rFonts w:ascii="Wingdings" w:hAnsi="Wingdings" w:hint="default"/>
      </w:rPr>
    </w:lvl>
    <w:lvl w:ilvl="6" w:tplc="5E58AFF8" w:tentative="1">
      <w:start w:val="1"/>
      <w:numFmt w:val="bullet"/>
      <w:lvlText w:val=""/>
      <w:lvlJc w:val="left"/>
      <w:pPr>
        <w:tabs>
          <w:tab w:val="num" w:pos="5040"/>
        </w:tabs>
        <w:ind w:left="5040" w:hanging="360"/>
      </w:pPr>
      <w:rPr>
        <w:rFonts w:ascii="Wingdings" w:hAnsi="Wingdings" w:hint="default"/>
      </w:rPr>
    </w:lvl>
    <w:lvl w:ilvl="7" w:tplc="5BCC0246" w:tentative="1">
      <w:start w:val="1"/>
      <w:numFmt w:val="bullet"/>
      <w:lvlText w:val=""/>
      <w:lvlJc w:val="left"/>
      <w:pPr>
        <w:tabs>
          <w:tab w:val="num" w:pos="5760"/>
        </w:tabs>
        <w:ind w:left="5760" w:hanging="360"/>
      </w:pPr>
      <w:rPr>
        <w:rFonts w:ascii="Wingdings" w:hAnsi="Wingdings" w:hint="default"/>
      </w:rPr>
    </w:lvl>
    <w:lvl w:ilvl="8" w:tplc="7A684EC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693121"/>
    <w:multiLevelType w:val="multilevel"/>
    <w:tmpl w:val="F86E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2B1C82"/>
    <w:multiLevelType w:val="hybridMultilevel"/>
    <w:tmpl w:val="B216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0234F5"/>
    <w:multiLevelType w:val="multilevel"/>
    <w:tmpl w:val="9590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286F8F"/>
    <w:multiLevelType w:val="multilevel"/>
    <w:tmpl w:val="12CA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22524B"/>
    <w:multiLevelType w:val="hybridMultilevel"/>
    <w:tmpl w:val="C092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FA141A"/>
    <w:multiLevelType w:val="hybridMultilevel"/>
    <w:tmpl w:val="77486A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41BB7"/>
    <w:multiLevelType w:val="hybridMultilevel"/>
    <w:tmpl w:val="EE1085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3F55DC"/>
    <w:multiLevelType w:val="hybridMultilevel"/>
    <w:tmpl w:val="47A61B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8F5025"/>
    <w:multiLevelType w:val="hybridMultilevel"/>
    <w:tmpl w:val="334C64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B31FA6"/>
    <w:multiLevelType w:val="hybridMultilevel"/>
    <w:tmpl w:val="D5800F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933DB"/>
    <w:multiLevelType w:val="hybridMultilevel"/>
    <w:tmpl w:val="4CF2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7C594B"/>
    <w:multiLevelType w:val="hybridMultilevel"/>
    <w:tmpl w:val="DCC0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D95256"/>
    <w:multiLevelType w:val="hybridMultilevel"/>
    <w:tmpl w:val="D16226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7D7483"/>
    <w:multiLevelType w:val="multilevel"/>
    <w:tmpl w:val="17B0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9F6A64"/>
    <w:multiLevelType w:val="hybridMultilevel"/>
    <w:tmpl w:val="82B83DC8"/>
    <w:lvl w:ilvl="0" w:tplc="7C5E8D74">
      <w:start w:val="1"/>
      <w:numFmt w:val="bullet"/>
      <w:lvlText w:val="•"/>
      <w:lvlJc w:val="left"/>
      <w:pPr>
        <w:tabs>
          <w:tab w:val="num" w:pos="720"/>
        </w:tabs>
        <w:ind w:left="720" w:hanging="360"/>
      </w:pPr>
      <w:rPr>
        <w:rFonts w:ascii="Arial" w:hAnsi="Arial" w:hint="default"/>
      </w:rPr>
    </w:lvl>
    <w:lvl w:ilvl="1" w:tplc="1670088A">
      <w:start w:val="270"/>
      <w:numFmt w:val="bullet"/>
      <w:lvlText w:val="•"/>
      <w:lvlJc w:val="left"/>
      <w:pPr>
        <w:tabs>
          <w:tab w:val="num" w:pos="1440"/>
        </w:tabs>
        <w:ind w:left="1440" w:hanging="360"/>
      </w:pPr>
      <w:rPr>
        <w:rFonts w:ascii="Arial" w:hAnsi="Arial" w:hint="default"/>
      </w:rPr>
    </w:lvl>
    <w:lvl w:ilvl="2" w:tplc="EF5C5CAA" w:tentative="1">
      <w:start w:val="1"/>
      <w:numFmt w:val="bullet"/>
      <w:lvlText w:val="•"/>
      <w:lvlJc w:val="left"/>
      <w:pPr>
        <w:tabs>
          <w:tab w:val="num" w:pos="2160"/>
        </w:tabs>
        <w:ind w:left="2160" w:hanging="360"/>
      </w:pPr>
      <w:rPr>
        <w:rFonts w:ascii="Arial" w:hAnsi="Arial" w:hint="default"/>
      </w:rPr>
    </w:lvl>
    <w:lvl w:ilvl="3" w:tplc="3CE0B5BA" w:tentative="1">
      <w:start w:val="1"/>
      <w:numFmt w:val="bullet"/>
      <w:lvlText w:val="•"/>
      <w:lvlJc w:val="left"/>
      <w:pPr>
        <w:tabs>
          <w:tab w:val="num" w:pos="2880"/>
        </w:tabs>
        <w:ind w:left="2880" w:hanging="360"/>
      </w:pPr>
      <w:rPr>
        <w:rFonts w:ascii="Arial" w:hAnsi="Arial" w:hint="default"/>
      </w:rPr>
    </w:lvl>
    <w:lvl w:ilvl="4" w:tplc="39560840" w:tentative="1">
      <w:start w:val="1"/>
      <w:numFmt w:val="bullet"/>
      <w:lvlText w:val="•"/>
      <w:lvlJc w:val="left"/>
      <w:pPr>
        <w:tabs>
          <w:tab w:val="num" w:pos="3600"/>
        </w:tabs>
        <w:ind w:left="3600" w:hanging="360"/>
      </w:pPr>
      <w:rPr>
        <w:rFonts w:ascii="Arial" w:hAnsi="Arial" w:hint="default"/>
      </w:rPr>
    </w:lvl>
    <w:lvl w:ilvl="5" w:tplc="FF66A800" w:tentative="1">
      <w:start w:val="1"/>
      <w:numFmt w:val="bullet"/>
      <w:lvlText w:val="•"/>
      <w:lvlJc w:val="left"/>
      <w:pPr>
        <w:tabs>
          <w:tab w:val="num" w:pos="4320"/>
        </w:tabs>
        <w:ind w:left="4320" w:hanging="360"/>
      </w:pPr>
      <w:rPr>
        <w:rFonts w:ascii="Arial" w:hAnsi="Arial" w:hint="default"/>
      </w:rPr>
    </w:lvl>
    <w:lvl w:ilvl="6" w:tplc="BA3E9494" w:tentative="1">
      <w:start w:val="1"/>
      <w:numFmt w:val="bullet"/>
      <w:lvlText w:val="•"/>
      <w:lvlJc w:val="left"/>
      <w:pPr>
        <w:tabs>
          <w:tab w:val="num" w:pos="5040"/>
        </w:tabs>
        <w:ind w:left="5040" w:hanging="360"/>
      </w:pPr>
      <w:rPr>
        <w:rFonts w:ascii="Arial" w:hAnsi="Arial" w:hint="default"/>
      </w:rPr>
    </w:lvl>
    <w:lvl w:ilvl="7" w:tplc="7E167586" w:tentative="1">
      <w:start w:val="1"/>
      <w:numFmt w:val="bullet"/>
      <w:lvlText w:val="•"/>
      <w:lvlJc w:val="left"/>
      <w:pPr>
        <w:tabs>
          <w:tab w:val="num" w:pos="5760"/>
        </w:tabs>
        <w:ind w:left="5760" w:hanging="360"/>
      </w:pPr>
      <w:rPr>
        <w:rFonts w:ascii="Arial" w:hAnsi="Arial" w:hint="default"/>
      </w:rPr>
    </w:lvl>
    <w:lvl w:ilvl="8" w:tplc="05D2A73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8DA6715"/>
    <w:multiLevelType w:val="hybridMultilevel"/>
    <w:tmpl w:val="D2B87EF0"/>
    <w:lvl w:ilvl="0" w:tplc="3D82F7DC">
      <w:start w:val="1"/>
      <w:numFmt w:val="bullet"/>
      <w:lvlText w:val=""/>
      <w:lvlJc w:val="left"/>
      <w:pPr>
        <w:tabs>
          <w:tab w:val="num" w:pos="720"/>
        </w:tabs>
        <w:ind w:left="720" w:hanging="360"/>
      </w:pPr>
      <w:rPr>
        <w:rFonts w:ascii="Wingdings" w:hAnsi="Wingdings" w:hint="default"/>
      </w:rPr>
    </w:lvl>
    <w:lvl w:ilvl="1" w:tplc="35345614">
      <w:start w:val="242"/>
      <w:numFmt w:val="bullet"/>
      <w:lvlText w:val="•"/>
      <w:lvlJc w:val="left"/>
      <w:pPr>
        <w:tabs>
          <w:tab w:val="num" w:pos="1440"/>
        </w:tabs>
        <w:ind w:left="1440" w:hanging="360"/>
      </w:pPr>
      <w:rPr>
        <w:rFonts w:ascii="Arial" w:hAnsi="Arial" w:hint="default"/>
      </w:rPr>
    </w:lvl>
    <w:lvl w:ilvl="2" w:tplc="AB706FAE">
      <w:start w:val="242"/>
      <w:numFmt w:val="bullet"/>
      <w:lvlText w:val="•"/>
      <w:lvlJc w:val="left"/>
      <w:pPr>
        <w:tabs>
          <w:tab w:val="num" w:pos="2160"/>
        </w:tabs>
        <w:ind w:left="2160" w:hanging="360"/>
      </w:pPr>
      <w:rPr>
        <w:rFonts w:ascii="Arial" w:hAnsi="Arial" w:hint="default"/>
      </w:rPr>
    </w:lvl>
    <w:lvl w:ilvl="3" w:tplc="F69EC3CA" w:tentative="1">
      <w:start w:val="1"/>
      <w:numFmt w:val="bullet"/>
      <w:lvlText w:val=""/>
      <w:lvlJc w:val="left"/>
      <w:pPr>
        <w:tabs>
          <w:tab w:val="num" w:pos="2880"/>
        </w:tabs>
        <w:ind w:left="2880" w:hanging="360"/>
      </w:pPr>
      <w:rPr>
        <w:rFonts w:ascii="Wingdings" w:hAnsi="Wingdings" w:hint="default"/>
      </w:rPr>
    </w:lvl>
    <w:lvl w:ilvl="4" w:tplc="C7A0DF44" w:tentative="1">
      <w:start w:val="1"/>
      <w:numFmt w:val="bullet"/>
      <w:lvlText w:val=""/>
      <w:lvlJc w:val="left"/>
      <w:pPr>
        <w:tabs>
          <w:tab w:val="num" w:pos="3600"/>
        </w:tabs>
        <w:ind w:left="3600" w:hanging="360"/>
      </w:pPr>
      <w:rPr>
        <w:rFonts w:ascii="Wingdings" w:hAnsi="Wingdings" w:hint="default"/>
      </w:rPr>
    </w:lvl>
    <w:lvl w:ilvl="5" w:tplc="B97A191C" w:tentative="1">
      <w:start w:val="1"/>
      <w:numFmt w:val="bullet"/>
      <w:lvlText w:val=""/>
      <w:lvlJc w:val="left"/>
      <w:pPr>
        <w:tabs>
          <w:tab w:val="num" w:pos="4320"/>
        </w:tabs>
        <w:ind w:left="4320" w:hanging="360"/>
      </w:pPr>
      <w:rPr>
        <w:rFonts w:ascii="Wingdings" w:hAnsi="Wingdings" w:hint="default"/>
      </w:rPr>
    </w:lvl>
    <w:lvl w:ilvl="6" w:tplc="AD3ECB0E" w:tentative="1">
      <w:start w:val="1"/>
      <w:numFmt w:val="bullet"/>
      <w:lvlText w:val=""/>
      <w:lvlJc w:val="left"/>
      <w:pPr>
        <w:tabs>
          <w:tab w:val="num" w:pos="5040"/>
        </w:tabs>
        <w:ind w:left="5040" w:hanging="360"/>
      </w:pPr>
      <w:rPr>
        <w:rFonts w:ascii="Wingdings" w:hAnsi="Wingdings" w:hint="default"/>
      </w:rPr>
    </w:lvl>
    <w:lvl w:ilvl="7" w:tplc="8700ADF6" w:tentative="1">
      <w:start w:val="1"/>
      <w:numFmt w:val="bullet"/>
      <w:lvlText w:val=""/>
      <w:lvlJc w:val="left"/>
      <w:pPr>
        <w:tabs>
          <w:tab w:val="num" w:pos="5760"/>
        </w:tabs>
        <w:ind w:left="5760" w:hanging="360"/>
      </w:pPr>
      <w:rPr>
        <w:rFonts w:ascii="Wingdings" w:hAnsi="Wingdings" w:hint="default"/>
      </w:rPr>
    </w:lvl>
    <w:lvl w:ilvl="8" w:tplc="4C2A3F3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4615E2"/>
    <w:multiLevelType w:val="hybridMultilevel"/>
    <w:tmpl w:val="46FC9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C31C2"/>
    <w:multiLevelType w:val="hybridMultilevel"/>
    <w:tmpl w:val="51E2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411FF"/>
    <w:multiLevelType w:val="hybridMultilevel"/>
    <w:tmpl w:val="1D32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A63A7"/>
    <w:multiLevelType w:val="hybridMultilevel"/>
    <w:tmpl w:val="6F907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4E15A3"/>
    <w:multiLevelType w:val="hybridMultilevel"/>
    <w:tmpl w:val="76C6E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EE0E61"/>
    <w:multiLevelType w:val="hybridMultilevel"/>
    <w:tmpl w:val="C178CD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720654"/>
    <w:multiLevelType w:val="hybridMultilevel"/>
    <w:tmpl w:val="E9B8BF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18"/>
  </w:num>
  <w:num w:numId="4">
    <w:abstractNumId w:val="11"/>
  </w:num>
  <w:num w:numId="5">
    <w:abstractNumId w:val="1"/>
  </w:num>
  <w:num w:numId="6">
    <w:abstractNumId w:val="15"/>
  </w:num>
  <w:num w:numId="7">
    <w:abstractNumId w:val="6"/>
  </w:num>
  <w:num w:numId="8">
    <w:abstractNumId w:val="32"/>
  </w:num>
  <w:num w:numId="9">
    <w:abstractNumId w:val="19"/>
  </w:num>
  <w:num w:numId="10">
    <w:abstractNumId w:val="0"/>
  </w:num>
  <w:num w:numId="11">
    <w:abstractNumId w:val="22"/>
  </w:num>
  <w:num w:numId="12">
    <w:abstractNumId w:val="2"/>
  </w:num>
  <w:num w:numId="13">
    <w:abstractNumId w:val="5"/>
  </w:num>
  <w:num w:numId="14">
    <w:abstractNumId w:val="29"/>
  </w:num>
  <w:num w:numId="15">
    <w:abstractNumId w:val="26"/>
  </w:num>
  <w:num w:numId="16">
    <w:abstractNumId w:val="3"/>
  </w:num>
  <w:num w:numId="17">
    <w:abstractNumId w:val="4"/>
  </w:num>
  <w:num w:numId="18">
    <w:abstractNumId w:val="20"/>
  </w:num>
  <w:num w:numId="19">
    <w:abstractNumId w:val="24"/>
  </w:num>
  <w:num w:numId="20">
    <w:abstractNumId w:val="17"/>
  </w:num>
  <w:num w:numId="21">
    <w:abstractNumId w:val="31"/>
  </w:num>
  <w:num w:numId="22">
    <w:abstractNumId w:val="9"/>
  </w:num>
  <w:num w:numId="23">
    <w:abstractNumId w:val="25"/>
  </w:num>
  <w:num w:numId="24">
    <w:abstractNumId w:val="14"/>
  </w:num>
  <w:num w:numId="25">
    <w:abstractNumId w:val="27"/>
  </w:num>
  <w:num w:numId="26">
    <w:abstractNumId w:val="28"/>
  </w:num>
  <w:num w:numId="27">
    <w:abstractNumId w:val="21"/>
  </w:num>
  <w:num w:numId="28">
    <w:abstractNumId w:val="16"/>
  </w:num>
  <w:num w:numId="29">
    <w:abstractNumId w:val="7"/>
  </w:num>
  <w:num w:numId="30">
    <w:abstractNumId w:val="23"/>
  </w:num>
  <w:num w:numId="31">
    <w:abstractNumId w:val="13"/>
  </w:num>
  <w:num w:numId="32">
    <w:abstractNumId w:val="1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47"/>
    <w:rsid w:val="00012A2F"/>
    <w:rsid w:val="00023F20"/>
    <w:rsid w:val="00046E59"/>
    <w:rsid w:val="00053BB0"/>
    <w:rsid w:val="00057468"/>
    <w:rsid w:val="00057CC8"/>
    <w:rsid w:val="000816D0"/>
    <w:rsid w:val="0009155E"/>
    <w:rsid w:val="00092BA3"/>
    <w:rsid w:val="00096C72"/>
    <w:rsid w:val="000A3A00"/>
    <w:rsid w:val="000E4197"/>
    <w:rsid w:val="000E770A"/>
    <w:rsid w:val="000F5BD6"/>
    <w:rsid w:val="0011018F"/>
    <w:rsid w:val="00112329"/>
    <w:rsid w:val="00124041"/>
    <w:rsid w:val="001379C7"/>
    <w:rsid w:val="00152BF8"/>
    <w:rsid w:val="0016308A"/>
    <w:rsid w:val="00165931"/>
    <w:rsid w:val="001672ED"/>
    <w:rsid w:val="00180308"/>
    <w:rsid w:val="00183618"/>
    <w:rsid w:val="001858AE"/>
    <w:rsid w:val="00190116"/>
    <w:rsid w:val="001921B6"/>
    <w:rsid w:val="0019398A"/>
    <w:rsid w:val="00194E48"/>
    <w:rsid w:val="0019510F"/>
    <w:rsid w:val="001B731E"/>
    <w:rsid w:val="001C1774"/>
    <w:rsid w:val="001C5554"/>
    <w:rsid w:val="001C79F8"/>
    <w:rsid w:val="001D0AC2"/>
    <w:rsid w:val="001D1024"/>
    <w:rsid w:val="001E6283"/>
    <w:rsid w:val="001F5D60"/>
    <w:rsid w:val="001F77BE"/>
    <w:rsid w:val="00205083"/>
    <w:rsid w:val="00210B43"/>
    <w:rsid w:val="002204E8"/>
    <w:rsid w:val="002477B9"/>
    <w:rsid w:val="00247F8E"/>
    <w:rsid w:val="00250975"/>
    <w:rsid w:val="0027059C"/>
    <w:rsid w:val="00271ABE"/>
    <w:rsid w:val="00272268"/>
    <w:rsid w:val="002743B5"/>
    <w:rsid w:val="00282722"/>
    <w:rsid w:val="00292369"/>
    <w:rsid w:val="00294558"/>
    <w:rsid w:val="002B2109"/>
    <w:rsid w:val="002B57BD"/>
    <w:rsid w:val="002C59C3"/>
    <w:rsid w:val="002D574C"/>
    <w:rsid w:val="00306605"/>
    <w:rsid w:val="00311DB8"/>
    <w:rsid w:val="00354C58"/>
    <w:rsid w:val="003553CA"/>
    <w:rsid w:val="00357CD1"/>
    <w:rsid w:val="00375BF9"/>
    <w:rsid w:val="00380A29"/>
    <w:rsid w:val="00391EBA"/>
    <w:rsid w:val="003A10EE"/>
    <w:rsid w:val="003A545A"/>
    <w:rsid w:val="003D03E7"/>
    <w:rsid w:val="003D5517"/>
    <w:rsid w:val="004111C5"/>
    <w:rsid w:val="0041264B"/>
    <w:rsid w:val="00423F11"/>
    <w:rsid w:val="00441DB8"/>
    <w:rsid w:val="0044508F"/>
    <w:rsid w:val="00471900"/>
    <w:rsid w:val="0047585B"/>
    <w:rsid w:val="00475AA6"/>
    <w:rsid w:val="00480380"/>
    <w:rsid w:val="00481C9E"/>
    <w:rsid w:val="0049614E"/>
    <w:rsid w:val="004B3239"/>
    <w:rsid w:val="004B48FA"/>
    <w:rsid w:val="004B6775"/>
    <w:rsid w:val="004C5E87"/>
    <w:rsid w:val="004E5F77"/>
    <w:rsid w:val="00506723"/>
    <w:rsid w:val="005148B4"/>
    <w:rsid w:val="0056188A"/>
    <w:rsid w:val="00576526"/>
    <w:rsid w:val="005A3DE6"/>
    <w:rsid w:val="005C51E8"/>
    <w:rsid w:val="005C7C48"/>
    <w:rsid w:val="005D413C"/>
    <w:rsid w:val="005E29FC"/>
    <w:rsid w:val="005E56B4"/>
    <w:rsid w:val="005F02F5"/>
    <w:rsid w:val="0063019B"/>
    <w:rsid w:val="00631898"/>
    <w:rsid w:val="006348FE"/>
    <w:rsid w:val="00637122"/>
    <w:rsid w:val="00645688"/>
    <w:rsid w:val="00645F58"/>
    <w:rsid w:val="00651F6E"/>
    <w:rsid w:val="006576A4"/>
    <w:rsid w:val="00660E74"/>
    <w:rsid w:val="00665CD7"/>
    <w:rsid w:val="00666E08"/>
    <w:rsid w:val="00697593"/>
    <w:rsid w:val="006A19BF"/>
    <w:rsid w:val="006A3610"/>
    <w:rsid w:val="006B2652"/>
    <w:rsid w:val="006C734B"/>
    <w:rsid w:val="006D3CA4"/>
    <w:rsid w:val="006E3B8B"/>
    <w:rsid w:val="006E4236"/>
    <w:rsid w:val="006E592B"/>
    <w:rsid w:val="006E6012"/>
    <w:rsid w:val="006E6844"/>
    <w:rsid w:val="007154B8"/>
    <w:rsid w:val="00726A82"/>
    <w:rsid w:val="00732733"/>
    <w:rsid w:val="00737F84"/>
    <w:rsid w:val="0074365E"/>
    <w:rsid w:val="00755DC0"/>
    <w:rsid w:val="00757BCB"/>
    <w:rsid w:val="00760660"/>
    <w:rsid w:val="00762345"/>
    <w:rsid w:val="00766161"/>
    <w:rsid w:val="00776421"/>
    <w:rsid w:val="007908BB"/>
    <w:rsid w:val="00792790"/>
    <w:rsid w:val="007A3812"/>
    <w:rsid w:val="007A4E58"/>
    <w:rsid w:val="007B50C9"/>
    <w:rsid w:val="007D69E2"/>
    <w:rsid w:val="007E086C"/>
    <w:rsid w:val="007E2918"/>
    <w:rsid w:val="00807B59"/>
    <w:rsid w:val="0081593E"/>
    <w:rsid w:val="008177C7"/>
    <w:rsid w:val="00832392"/>
    <w:rsid w:val="008325F4"/>
    <w:rsid w:val="00835219"/>
    <w:rsid w:val="0084689A"/>
    <w:rsid w:val="00854C20"/>
    <w:rsid w:val="008574FA"/>
    <w:rsid w:val="0086344C"/>
    <w:rsid w:val="00885D61"/>
    <w:rsid w:val="0089573F"/>
    <w:rsid w:val="00895CE6"/>
    <w:rsid w:val="008974E2"/>
    <w:rsid w:val="008C4C47"/>
    <w:rsid w:val="008D543D"/>
    <w:rsid w:val="008D5DEE"/>
    <w:rsid w:val="008E65EA"/>
    <w:rsid w:val="008F73D9"/>
    <w:rsid w:val="009129EF"/>
    <w:rsid w:val="00915EC2"/>
    <w:rsid w:val="0093025D"/>
    <w:rsid w:val="00933972"/>
    <w:rsid w:val="00945515"/>
    <w:rsid w:val="0095079A"/>
    <w:rsid w:val="009516C6"/>
    <w:rsid w:val="00957F1D"/>
    <w:rsid w:val="00960166"/>
    <w:rsid w:val="00961A50"/>
    <w:rsid w:val="00963CAC"/>
    <w:rsid w:val="009653F2"/>
    <w:rsid w:val="009679DD"/>
    <w:rsid w:val="00967F6D"/>
    <w:rsid w:val="0098269D"/>
    <w:rsid w:val="00982CC9"/>
    <w:rsid w:val="00986CB3"/>
    <w:rsid w:val="009A3499"/>
    <w:rsid w:val="009A3646"/>
    <w:rsid w:val="009A5CDE"/>
    <w:rsid w:val="009D53D8"/>
    <w:rsid w:val="009D7D6B"/>
    <w:rsid w:val="009D7F3D"/>
    <w:rsid w:val="009E78AD"/>
    <w:rsid w:val="009F4558"/>
    <w:rsid w:val="009F5ACE"/>
    <w:rsid w:val="00A00FB1"/>
    <w:rsid w:val="00A17DE4"/>
    <w:rsid w:val="00A24AFB"/>
    <w:rsid w:val="00A256F5"/>
    <w:rsid w:val="00A33955"/>
    <w:rsid w:val="00A45FCE"/>
    <w:rsid w:val="00A64696"/>
    <w:rsid w:val="00A70EF6"/>
    <w:rsid w:val="00A74938"/>
    <w:rsid w:val="00A76DE4"/>
    <w:rsid w:val="00A817FE"/>
    <w:rsid w:val="00AA65FF"/>
    <w:rsid w:val="00AC3C24"/>
    <w:rsid w:val="00AC5BF1"/>
    <w:rsid w:val="00AC7F24"/>
    <w:rsid w:val="00AD6647"/>
    <w:rsid w:val="00AF2ED5"/>
    <w:rsid w:val="00AF5EF9"/>
    <w:rsid w:val="00B03580"/>
    <w:rsid w:val="00B064C2"/>
    <w:rsid w:val="00B11801"/>
    <w:rsid w:val="00B12843"/>
    <w:rsid w:val="00B16263"/>
    <w:rsid w:val="00B2578F"/>
    <w:rsid w:val="00B25825"/>
    <w:rsid w:val="00B33760"/>
    <w:rsid w:val="00B33E15"/>
    <w:rsid w:val="00B457AB"/>
    <w:rsid w:val="00B56EBF"/>
    <w:rsid w:val="00B611D5"/>
    <w:rsid w:val="00B72D4F"/>
    <w:rsid w:val="00B80CE2"/>
    <w:rsid w:val="00B81992"/>
    <w:rsid w:val="00B8262C"/>
    <w:rsid w:val="00B92764"/>
    <w:rsid w:val="00BB1996"/>
    <w:rsid w:val="00BB26FE"/>
    <w:rsid w:val="00BB3457"/>
    <w:rsid w:val="00BB3992"/>
    <w:rsid w:val="00BC63A7"/>
    <w:rsid w:val="00BC78FA"/>
    <w:rsid w:val="00C078D4"/>
    <w:rsid w:val="00C13FA8"/>
    <w:rsid w:val="00C22433"/>
    <w:rsid w:val="00C3400B"/>
    <w:rsid w:val="00C677A1"/>
    <w:rsid w:val="00C71136"/>
    <w:rsid w:val="00C81CDD"/>
    <w:rsid w:val="00C84137"/>
    <w:rsid w:val="00CA3E37"/>
    <w:rsid w:val="00CB17EF"/>
    <w:rsid w:val="00CC249C"/>
    <w:rsid w:val="00CC6C88"/>
    <w:rsid w:val="00CD1765"/>
    <w:rsid w:val="00CE102A"/>
    <w:rsid w:val="00CE6977"/>
    <w:rsid w:val="00D30AC0"/>
    <w:rsid w:val="00D3381B"/>
    <w:rsid w:val="00D346F1"/>
    <w:rsid w:val="00D63774"/>
    <w:rsid w:val="00D72937"/>
    <w:rsid w:val="00D8049D"/>
    <w:rsid w:val="00D813F3"/>
    <w:rsid w:val="00D828A2"/>
    <w:rsid w:val="00D92F77"/>
    <w:rsid w:val="00D94AAC"/>
    <w:rsid w:val="00DA0162"/>
    <w:rsid w:val="00DA09A5"/>
    <w:rsid w:val="00DB72AC"/>
    <w:rsid w:val="00DB76D1"/>
    <w:rsid w:val="00DC0351"/>
    <w:rsid w:val="00DE1343"/>
    <w:rsid w:val="00DE342F"/>
    <w:rsid w:val="00DF5C0E"/>
    <w:rsid w:val="00E018A7"/>
    <w:rsid w:val="00E02010"/>
    <w:rsid w:val="00E11D7E"/>
    <w:rsid w:val="00E15EC1"/>
    <w:rsid w:val="00E248C6"/>
    <w:rsid w:val="00E30CD4"/>
    <w:rsid w:val="00E34DF4"/>
    <w:rsid w:val="00E4343C"/>
    <w:rsid w:val="00E616F0"/>
    <w:rsid w:val="00E62260"/>
    <w:rsid w:val="00E7517E"/>
    <w:rsid w:val="00E85F51"/>
    <w:rsid w:val="00E96C49"/>
    <w:rsid w:val="00EB1CF3"/>
    <w:rsid w:val="00EB4377"/>
    <w:rsid w:val="00EB7B0E"/>
    <w:rsid w:val="00ED0260"/>
    <w:rsid w:val="00EE3696"/>
    <w:rsid w:val="00EE3FF3"/>
    <w:rsid w:val="00EE54A9"/>
    <w:rsid w:val="00F013D8"/>
    <w:rsid w:val="00F01A55"/>
    <w:rsid w:val="00F2241F"/>
    <w:rsid w:val="00F24CFC"/>
    <w:rsid w:val="00F25BB0"/>
    <w:rsid w:val="00F3262A"/>
    <w:rsid w:val="00F35104"/>
    <w:rsid w:val="00F47243"/>
    <w:rsid w:val="00F57B96"/>
    <w:rsid w:val="00F61592"/>
    <w:rsid w:val="00F6276B"/>
    <w:rsid w:val="00F802B8"/>
    <w:rsid w:val="00F83855"/>
    <w:rsid w:val="00FA50AA"/>
    <w:rsid w:val="00FA5D0F"/>
    <w:rsid w:val="00FB5AC8"/>
    <w:rsid w:val="00FC61CA"/>
    <w:rsid w:val="00FC6288"/>
    <w:rsid w:val="00FC7174"/>
    <w:rsid w:val="00FD13D2"/>
    <w:rsid w:val="00FE50EE"/>
    <w:rsid w:val="00FF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696D"/>
  <w15:chartTrackingRefBased/>
  <w15:docId w15:val="{384F6673-FA28-4947-B749-F6657480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1D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82C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CD4"/>
    <w:pPr>
      <w:ind w:left="720"/>
      <w:contextualSpacing/>
    </w:pPr>
  </w:style>
  <w:style w:type="character" w:styleId="Hyperlink">
    <w:name w:val="Hyperlink"/>
    <w:basedOn w:val="DefaultParagraphFont"/>
    <w:uiPriority w:val="99"/>
    <w:unhideWhenUsed/>
    <w:rsid w:val="0041264B"/>
    <w:rPr>
      <w:color w:val="0563C1" w:themeColor="hyperlink"/>
      <w:u w:val="single"/>
    </w:rPr>
  </w:style>
  <w:style w:type="character" w:styleId="FollowedHyperlink">
    <w:name w:val="FollowedHyperlink"/>
    <w:basedOn w:val="DefaultParagraphFont"/>
    <w:uiPriority w:val="99"/>
    <w:semiHidden/>
    <w:unhideWhenUsed/>
    <w:rsid w:val="00D828A2"/>
    <w:rPr>
      <w:color w:val="954F72" w:themeColor="followedHyperlink"/>
      <w:u w:val="single"/>
    </w:rPr>
  </w:style>
  <w:style w:type="paragraph" w:styleId="Header">
    <w:name w:val="header"/>
    <w:basedOn w:val="Normal"/>
    <w:link w:val="HeaderChar"/>
    <w:uiPriority w:val="99"/>
    <w:unhideWhenUsed/>
    <w:rsid w:val="00F01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3D8"/>
  </w:style>
  <w:style w:type="paragraph" w:styleId="Footer">
    <w:name w:val="footer"/>
    <w:basedOn w:val="Normal"/>
    <w:link w:val="FooterChar"/>
    <w:uiPriority w:val="99"/>
    <w:unhideWhenUsed/>
    <w:rsid w:val="00F01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3D8"/>
  </w:style>
  <w:style w:type="character" w:customStyle="1" w:styleId="Heading1Char">
    <w:name w:val="Heading 1 Char"/>
    <w:basedOn w:val="DefaultParagraphFont"/>
    <w:link w:val="Heading1"/>
    <w:uiPriority w:val="9"/>
    <w:rsid w:val="00311DB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11DB8"/>
    <w:pPr>
      <w:outlineLvl w:val="9"/>
    </w:pPr>
  </w:style>
  <w:style w:type="paragraph" w:styleId="TOC1">
    <w:name w:val="toc 1"/>
    <w:basedOn w:val="Normal"/>
    <w:next w:val="Normal"/>
    <w:autoRedefine/>
    <w:uiPriority w:val="39"/>
    <w:unhideWhenUsed/>
    <w:rsid w:val="0047585B"/>
    <w:pPr>
      <w:spacing w:after="100"/>
    </w:pPr>
  </w:style>
  <w:style w:type="character" w:customStyle="1" w:styleId="Heading2Char">
    <w:name w:val="Heading 2 Char"/>
    <w:basedOn w:val="DefaultParagraphFont"/>
    <w:link w:val="Heading2"/>
    <w:uiPriority w:val="9"/>
    <w:rsid w:val="00982CC9"/>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C79F8"/>
    <w:pPr>
      <w:spacing w:after="100"/>
      <w:ind w:left="220"/>
    </w:pPr>
  </w:style>
  <w:style w:type="character" w:styleId="CommentReference">
    <w:name w:val="annotation reference"/>
    <w:basedOn w:val="DefaultParagraphFont"/>
    <w:uiPriority w:val="99"/>
    <w:semiHidden/>
    <w:unhideWhenUsed/>
    <w:rsid w:val="00645688"/>
    <w:rPr>
      <w:sz w:val="16"/>
      <w:szCs w:val="16"/>
    </w:rPr>
  </w:style>
  <w:style w:type="paragraph" w:styleId="CommentText">
    <w:name w:val="annotation text"/>
    <w:basedOn w:val="Normal"/>
    <w:link w:val="CommentTextChar"/>
    <w:uiPriority w:val="99"/>
    <w:semiHidden/>
    <w:unhideWhenUsed/>
    <w:rsid w:val="00645688"/>
    <w:pPr>
      <w:spacing w:line="240" w:lineRule="auto"/>
    </w:pPr>
    <w:rPr>
      <w:sz w:val="20"/>
      <w:szCs w:val="20"/>
    </w:rPr>
  </w:style>
  <w:style w:type="character" w:customStyle="1" w:styleId="CommentTextChar">
    <w:name w:val="Comment Text Char"/>
    <w:basedOn w:val="DefaultParagraphFont"/>
    <w:link w:val="CommentText"/>
    <w:uiPriority w:val="99"/>
    <w:semiHidden/>
    <w:rsid w:val="00645688"/>
    <w:rPr>
      <w:sz w:val="20"/>
      <w:szCs w:val="20"/>
    </w:rPr>
  </w:style>
  <w:style w:type="paragraph" w:styleId="CommentSubject">
    <w:name w:val="annotation subject"/>
    <w:basedOn w:val="CommentText"/>
    <w:next w:val="CommentText"/>
    <w:link w:val="CommentSubjectChar"/>
    <w:uiPriority w:val="99"/>
    <w:semiHidden/>
    <w:unhideWhenUsed/>
    <w:rsid w:val="00645688"/>
    <w:rPr>
      <w:b/>
      <w:bCs/>
    </w:rPr>
  </w:style>
  <w:style w:type="character" w:customStyle="1" w:styleId="CommentSubjectChar">
    <w:name w:val="Comment Subject Char"/>
    <w:basedOn w:val="CommentTextChar"/>
    <w:link w:val="CommentSubject"/>
    <w:uiPriority w:val="99"/>
    <w:semiHidden/>
    <w:rsid w:val="00645688"/>
    <w:rPr>
      <w:b/>
      <w:bCs/>
      <w:sz w:val="20"/>
      <w:szCs w:val="20"/>
    </w:rPr>
  </w:style>
  <w:style w:type="paragraph" w:styleId="BalloonText">
    <w:name w:val="Balloon Text"/>
    <w:basedOn w:val="Normal"/>
    <w:link w:val="BalloonTextChar"/>
    <w:uiPriority w:val="99"/>
    <w:semiHidden/>
    <w:unhideWhenUsed/>
    <w:rsid w:val="006456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688"/>
    <w:rPr>
      <w:rFonts w:ascii="Segoe UI" w:hAnsi="Segoe UI" w:cs="Segoe UI"/>
      <w:sz w:val="18"/>
      <w:szCs w:val="18"/>
    </w:rPr>
  </w:style>
  <w:style w:type="paragraph" w:customStyle="1" w:styleId="paragraph">
    <w:name w:val="paragraph"/>
    <w:basedOn w:val="Normal"/>
    <w:rsid w:val="009129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9129EF"/>
  </w:style>
  <w:style w:type="character" w:customStyle="1" w:styleId="eop">
    <w:name w:val="eop"/>
    <w:basedOn w:val="DefaultParagraphFont"/>
    <w:rsid w:val="009129EF"/>
  </w:style>
  <w:style w:type="character" w:customStyle="1" w:styleId="normaltextrun">
    <w:name w:val="normaltextrun"/>
    <w:basedOn w:val="DefaultParagraphFont"/>
    <w:rsid w:val="009129EF"/>
  </w:style>
  <w:style w:type="character" w:styleId="Strong">
    <w:name w:val="Strong"/>
    <w:basedOn w:val="DefaultParagraphFont"/>
    <w:uiPriority w:val="22"/>
    <w:qFormat/>
    <w:rsid w:val="009129EF"/>
    <w:rPr>
      <w:b/>
      <w:bCs/>
    </w:rPr>
  </w:style>
  <w:style w:type="paragraph" w:customStyle="1" w:styleId="outlineelement">
    <w:name w:val="outlineelement"/>
    <w:basedOn w:val="Normal"/>
    <w:rsid w:val="009129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3120">
      <w:bodyDiv w:val="1"/>
      <w:marLeft w:val="0"/>
      <w:marRight w:val="0"/>
      <w:marTop w:val="0"/>
      <w:marBottom w:val="0"/>
      <w:divBdr>
        <w:top w:val="none" w:sz="0" w:space="0" w:color="auto"/>
        <w:left w:val="none" w:sz="0" w:space="0" w:color="auto"/>
        <w:bottom w:val="none" w:sz="0" w:space="0" w:color="auto"/>
        <w:right w:val="none" w:sz="0" w:space="0" w:color="auto"/>
      </w:divBdr>
      <w:divsChild>
        <w:div w:id="2074428416">
          <w:marLeft w:val="0"/>
          <w:marRight w:val="0"/>
          <w:marTop w:val="0"/>
          <w:marBottom w:val="0"/>
          <w:divBdr>
            <w:top w:val="none" w:sz="0" w:space="0" w:color="auto"/>
            <w:left w:val="none" w:sz="0" w:space="0" w:color="auto"/>
            <w:bottom w:val="none" w:sz="0" w:space="0" w:color="auto"/>
            <w:right w:val="none" w:sz="0" w:space="0" w:color="auto"/>
          </w:divBdr>
        </w:div>
        <w:div w:id="845941557">
          <w:marLeft w:val="0"/>
          <w:marRight w:val="0"/>
          <w:marTop w:val="0"/>
          <w:marBottom w:val="0"/>
          <w:divBdr>
            <w:top w:val="none" w:sz="0" w:space="0" w:color="auto"/>
            <w:left w:val="none" w:sz="0" w:space="0" w:color="auto"/>
            <w:bottom w:val="none" w:sz="0" w:space="0" w:color="auto"/>
            <w:right w:val="none" w:sz="0" w:space="0" w:color="auto"/>
          </w:divBdr>
          <w:divsChild>
            <w:div w:id="614286488">
              <w:marLeft w:val="0"/>
              <w:marRight w:val="0"/>
              <w:marTop w:val="0"/>
              <w:marBottom w:val="0"/>
              <w:divBdr>
                <w:top w:val="none" w:sz="0" w:space="0" w:color="auto"/>
                <w:left w:val="none" w:sz="0" w:space="0" w:color="auto"/>
                <w:bottom w:val="none" w:sz="0" w:space="0" w:color="auto"/>
                <w:right w:val="none" w:sz="0" w:space="0" w:color="auto"/>
              </w:divBdr>
              <w:divsChild>
                <w:div w:id="1146967121">
                  <w:marLeft w:val="0"/>
                  <w:marRight w:val="0"/>
                  <w:marTop w:val="0"/>
                  <w:marBottom w:val="0"/>
                  <w:divBdr>
                    <w:top w:val="none" w:sz="0" w:space="0" w:color="auto"/>
                    <w:left w:val="none" w:sz="0" w:space="0" w:color="auto"/>
                    <w:bottom w:val="none" w:sz="0" w:space="0" w:color="auto"/>
                    <w:right w:val="none" w:sz="0" w:space="0" w:color="auto"/>
                  </w:divBdr>
                </w:div>
                <w:div w:id="328943989">
                  <w:marLeft w:val="0"/>
                  <w:marRight w:val="0"/>
                  <w:marTop w:val="0"/>
                  <w:marBottom w:val="0"/>
                  <w:divBdr>
                    <w:top w:val="none" w:sz="0" w:space="0" w:color="auto"/>
                    <w:left w:val="none" w:sz="0" w:space="0" w:color="auto"/>
                    <w:bottom w:val="none" w:sz="0" w:space="0" w:color="auto"/>
                    <w:right w:val="none" w:sz="0" w:space="0" w:color="auto"/>
                  </w:divBdr>
                </w:div>
                <w:div w:id="1044251531">
                  <w:marLeft w:val="0"/>
                  <w:marRight w:val="0"/>
                  <w:marTop w:val="0"/>
                  <w:marBottom w:val="0"/>
                  <w:divBdr>
                    <w:top w:val="none" w:sz="0" w:space="0" w:color="auto"/>
                    <w:left w:val="none" w:sz="0" w:space="0" w:color="auto"/>
                    <w:bottom w:val="none" w:sz="0" w:space="0" w:color="auto"/>
                    <w:right w:val="none" w:sz="0" w:space="0" w:color="auto"/>
                  </w:divBdr>
                </w:div>
                <w:div w:id="2053575722">
                  <w:marLeft w:val="0"/>
                  <w:marRight w:val="0"/>
                  <w:marTop w:val="0"/>
                  <w:marBottom w:val="0"/>
                  <w:divBdr>
                    <w:top w:val="none" w:sz="0" w:space="0" w:color="auto"/>
                    <w:left w:val="none" w:sz="0" w:space="0" w:color="auto"/>
                    <w:bottom w:val="none" w:sz="0" w:space="0" w:color="auto"/>
                    <w:right w:val="none" w:sz="0" w:space="0" w:color="auto"/>
                  </w:divBdr>
                </w:div>
              </w:divsChild>
            </w:div>
            <w:div w:id="1420978921">
              <w:marLeft w:val="0"/>
              <w:marRight w:val="0"/>
              <w:marTop w:val="0"/>
              <w:marBottom w:val="0"/>
              <w:divBdr>
                <w:top w:val="none" w:sz="0" w:space="0" w:color="auto"/>
                <w:left w:val="none" w:sz="0" w:space="0" w:color="auto"/>
                <w:bottom w:val="none" w:sz="0" w:space="0" w:color="auto"/>
                <w:right w:val="none" w:sz="0" w:space="0" w:color="auto"/>
              </w:divBdr>
              <w:divsChild>
                <w:div w:id="187838655">
                  <w:marLeft w:val="0"/>
                  <w:marRight w:val="0"/>
                  <w:marTop w:val="0"/>
                  <w:marBottom w:val="0"/>
                  <w:divBdr>
                    <w:top w:val="none" w:sz="0" w:space="0" w:color="auto"/>
                    <w:left w:val="none" w:sz="0" w:space="0" w:color="auto"/>
                    <w:bottom w:val="none" w:sz="0" w:space="0" w:color="auto"/>
                    <w:right w:val="none" w:sz="0" w:space="0" w:color="auto"/>
                  </w:divBdr>
                </w:div>
                <w:div w:id="152065596">
                  <w:marLeft w:val="0"/>
                  <w:marRight w:val="0"/>
                  <w:marTop w:val="0"/>
                  <w:marBottom w:val="0"/>
                  <w:divBdr>
                    <w:top w:val="none" w:sz="0" w:space="0" w:color="auto"/>
                    <w:left w:val="none" w:sz="0" w:space="0" w:color="auto"/>
                    <w:bottom w:val="none" w:sz="0" w:space="0" w:color="auto"/>
                    <w:right w:val="none" w:sz="0" w:space="0" w:color="auto"/>
                  </w:divBdr>
                </w:div>
              </w:divsChild>
            </w:div>
            <w:div w:id="742143371">
              <w:marLeft w:val="0"/>
              <w:marRight w:val="0"/>
              <w:marTop w:val="0"/>
              <w:marBottom w:val="0"/>
              <w:divBdr>
                <w:top w:val="none" w:sz="0" w:space="0" w:color="auto"/>
                <w:left w:val="none" w:sz="0" w:space="0" w:color="auto"/>
                <w:bottom w:val="none" w:sz="0" w:space="0" w:color="auto"/>
                <w:right w:val="none" w:sz="0" w:space="0" w:color="auto"/>
              </w:divBdr>
              <w:divsChild>
                <w:div w:id="521937989">
                  <w:marLeft w:val="0"/>
                  <w:marRight w:val="0"/>
                  <w:marTop w:val="0"/>
                  <w:marBottom w:val="0"/>
                  <w:divBdr>
                    <w:top w:val="none" w:sz="0" w:space="0" w:color="auto"/>
                    <w:left w:val="none" w:sz="0" w:space="0" w:color="auto"/>
                    <w:bottom w:val="none" w:sz="0" w:space="0" w:color="auto"/>
                    <w:right w:val="none" w:sz="0" w:space="0" w:color="auto"/>
                  </w:divBdr>
                </w:div>
                <w:div w:id="1972318790">
                  <w:marLeft w:val="0"/>
                  <w:marRight w:val="0"/>
                  <w:marTop w:val="0"/>
                  <w:marBottom w:val="0"/>
                  <w:divBdr>
                    <w:top w:val="none" w:sz="0" w:space="0" w:color="auto"/>
                    <w:left w:val="none" w:sz="0" w:space="0" w:color="auto"/>
                    <w:bottom w:val="none" w:sz="0" w:space="0" w:color="auto"/>
                    <w:right w:val="none" w:sz="0" w:space="0" w:color="auto"/>
                  </w:divBdr>
                </w:div>
              </w:divsChild>
            </w:div>
            <w:div w:id="1424718710">
              <w:marLeft w:val="0"/>
              <w:marRight w:val="0"/>
              <w:marTop w:val="0"/>
              <w:marBottom w:val="0"/>
              <w:divBdr>
                <w:top w:val="none" w:sz="0" w:space="0" w:color="auto"/>
                <w:left w:val="none" w:sz="0" w:space="0" w:color="auto"/>
                <w:bottom w:val="none" w:sz="0" w:space="0" w:color="auto"/>
                <w:right w:val="none" w:sz="0" w:space="0" w:color="auto"/>
              </w:divBdr>
              <w:divsChild>
                <w:div w:id="451049931">
                  <w:marLeft w:val="0"/>
                  <w:marRight w:val="0"/>
                  <w:marTop w:val="0"/>
                  <w:marBottom w:val="0"/>
                  <w:divBdr>
                    <w:top w:val="none" w:sz="0" w:space="0" w:color="auto"/>
                    <w:left w:val="none" w:sz="0" w:space="0" w:color="auto"/>
                    <w:bottom w:val="none" w:sz="0" w:space="0" w:color="auto"/>
                    <w:right w:val="none" w:sz="0" w:space="0" w:color="auto"/>
                  </w:divBdr>
                </w:div>
                <w:div w:id="1255937741">
                  <w:marLeft w:val="0"/>
                  <w:marRight w:val="0"/>
                  <w:marTop w:val="0"/>
                  <w:marBottom w:val="0"/>
                  <w:divBdr>
                    <w:top w:val="none" w:sz="0" w:space="0" w:color="auto"/>
                    <w:left w:val="none" w:sz="0" w:space="0" w:color="auto"/>
                    <w:bottom w:val="none" w:sz="0" w:space="0" w:color="auto"/>
                    <w:right w:val="none" w:sz="0" w:space="0" w:color="auto"/>
                  </w:divBdr>
                </w:div>
              </w:divsChild>
            </w:div>
            <w:div w:id="4001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1122">
      <w:bodyDiv w:val="1"/>
      <w:marLeft w:val="0"/>
      <w:marRight w:val="0"/>
      <w:marTop w:val="0"/>
      <w:marBottom w:val="0"/>
      <w:divBdr>
        <w:top w:val="none" w:sz="0" w:space="0" w:color="auto"/>
        <w:left w:val="none" w:sz="0" w:space="0" w:color="auto"/>
        <w:bottom w:val="none" w:sz="0" w:space="0" w:color="auto"/>
        <w:right w:val="none" w:sz="0" w:space="0" w:color="auto"/>
      </w:divBdr>
      <w:divsChild>
        <w:div w:id="171918889">
          <w:marLeft w:val="360"/>
          <w:marRight w:val="0"/>
          <w:marTop w:val="200"/>
          <w:marBottom w:val="0"/>
          <w:divBdr>
            <w:top w:val="none" w:sz="0" w:space="0" w:color="auto"/>
            <w:left w:val="none" w:sz="0" w:space="0" w:color="auto"/>
            <w:bottom w:val="none" w:sz="0" w:space="0" w:color="auto"/>
            <w:right w:val="none" w:sz="0" w:space="0" w:color="auto"/>
          </w:divBdr>
        </w:div>
        <w:div w:id="141970110">
          <w:marLeft w:val="360"/>
          <w:marRight w:val="0"/>
          <w:marTop w:val="200"/>
          <w:marBottom w:val="0"/>
          <w:divBdr>
            <w:top w:val="none" w:sz="0" w:space="0" w:color="auto"/>
            <w:left w:val="none" w:sz="0" w:space="0" w:color="auto"/>
            <w:bottom w:val="none" w:sz="0" w:space="0" w:color="auto"/>
            <w:right w:val="none" w:sz="0" w:space="0" w:color="auto"/>
          </w:divBdr>
        </w:div>
        <w:div w:id="879628771">
          <w:marLeft w:val="1080"/>
          <w:marRight w:val="0"/>
          <w:marTop w:val="100"/>
          <w:marBottom w:val="0"/>
          <w:divBdr>
            <w:top w:val="none" w:sz="0" w:space="0" w:color="auto"/>
            <w:left w:val="none" w:sz="0" w:space="0" w:color="auto"/>
            <w:bottom w:val="none" w:sz="0" w:space="0" w:color="auto"/>
            <w:right w:val="none" w:sz="0" w:space="0" w:color="auto"/>
          </w:divBdr>
        </w:div>
        <w:div w:id="393823209">
          <w:marLeft w:val="1080"/>
          <w:marRight w:val="0"/>
          <w:marTop w:val="100"/>
          <w:marBottom w:val="0"/>
          <w:divBdr>
            <w:top w:val="none" w:sz="0" w:space="0" w:color="auto"/>
            <w:left w:val="none" w:sz="0" w:space="0" w:color="auto"/>
            <w:bottom w:val="none" w:sz="0" w:space="0" w:color="auto"/>
            <w:right w:val="none" w:sz="0" w:space="0" w:color="auto"/>
          </w:divBdr>
        </w:div>
        <w:div w:id="846360791">
          <w:marLeft w:val="1080"/>
          <w:marRight w:val="0"/>
          <w:marTop w:val="100"/>
          <w:marBottom w:val="0"/>
          <w:divBdr>
            <w:top w:val="none" w:sz="0" w:space="0" w:color="auto"/>
            <w:left w:val="none" w:sz="0" w:space="0" w:color="auto"/>
            <w:bottom w:val="none" w:sz="0" w:space="0" w:color="auto"/>
            <w:right w:val="none" w:sz="0" w:space="0" w:color="auto"/>
          </w:divBdr>
        </w:div>
        <w:div w:id="731736024">
          <w:marLeft w:val="1080"/>
          <w:marRight w:val="0"/>
          <w:marTop w:val="100"/>
          <w:marBottom w:val="0"/>
          <w:divBdr>
            <w:top w:val="none" w:sz="0" w:space="0" w:color="auto"/>
            <w:left w:val="none" w:sz="0" w:space="0" w:color="auto"/>
            <w:bottom w:val="none" w:sz="0" w:space="0" w:color="auto"/>
            <w:right w:val="none" w:sz="0" w:space="0" w:color="auto"/>
          </w:divBdr>
        </w:div>
        <w:div w:id="1261252789">
          <w:marLeft w:val="1080"/>
          <w:marRight w:val="0"/>
          <w:marTop w:val="100"/>
          <w:marBottom w:val="0"/>
          <w:divBdr>
            <w:top w:val="none" w:sz="0" w:space="0" w:color="auto"/>
            <w:left w:val="none" w:sz="0" w:space="0" w:color="auto"/>
            <w:bottom w:val="none" w:sz="0" w:space="0" w:color="auto"/>
            <w:right w:val="none" w:sz="0" w:space="0" w:color="auto"/>
          </w:divBdr>
        </w:div>
        <w:div w:id="1727992171">
          <w:marLeft w:val="1080"/>
          <w:marRight w:val="0"/>
          <w:marTop w:val="100"/>
          <w:marBottom w:val="0"/>
          <w:divBdr>
            <w:top w:val="none" w:sz="0" w:space="0" w:color="auto"/>
            <w:left w:val="none" w:sz="0" w:space="0" w:color="auto"/>
            <w:bottom w:val="none" w:sz="0" w:space="0" w:color="auto"/>
            <w:right w:val="none" w:sz="0" w:space="0" w:color="auto"/>
          </w:divBdr>
        </w:div>
        <w:div w:id="2072773337">
          <w:marLeft w:val="1080"/>
          <w:marRight w:val="0"/>
          <w:marTop w:val="100"/>
          <w:marBottom w:val="0"/>
          <w:divBdr>
            <w:top w:val="none" w:sz="0" w:space="0" w:color="auto"/>
            <w:left w:val="none" w:sz="0" w:space="0" w:color="auto"/>
            <w:bottom w:val="none" w:sz="0" w:space="0" w:color="auto"/>
            <w:right w:val="none" w:sz="0" w:space="0" w:color="auto"/>
          </w:divBdr>
        </w:div>
        <w:div w:id="988362454">
          <w:marLeft w:val="1080"/>
          <w:marRight w:val="0"/>
          <w:marTop w:val="100"/>
          <w:marBottom w:val="0"/>
          <w:divBdr>
            <w:top w:val="none" w:sz="0" w:space="0" w:color="auto"/>
            <w:left w:val="none" w:sz="0" w:space="0" w:color="auto"/>
            <w:bottom w:val="none" w:sz="0" w:space="0" w:color="auto"/>
            <w:right w:val="none" w:sz="0" w:space="0" w:color="auto"/>
          </w:divBdr>
        </w:div>
        <w:div w:id="613943698">
          <w:marLeft w:val="1080"/>
          <w:marRight w:val="0"/>
          <w:marTop w:val="100"/>
          <w:marBottom w:val="0"/>
          <w:divBdr>
            <w:top w:val="none" w:sz="0" w:space="0" w:color="auto"/>
            <w:left w:val="none" w:sz="0" w:space="0" w:color="auto"/>
            <w:bottom w:val="none" w:sz="0" w:space="0" w:color="auto"/>
            <w:right w:val="none" w:sz="0" w:space="0" w:color="auto"/>
          </w:divBdr>
        </w:div>
      </w:divsChild>
    </w:div>
    <w:div w:id="702367771">
      <w:bodyDiv w:val="1"/>
      <w:marLeft w:val="0"/>
      <w:marRight w:val="0"/>
      <w:marTop w:val="0"/>
      <w:marBottom w:val="0"/>
      <w:divBdr>
        <w:top w:val="none" w:sz="0" w:space="0" w:color="auto"/>
        <w:left w:val="none" w:sz="0" w:space="0" w:color="auto"/>
        <w:bottom w:val="none" w:sz="0" w:space="0" w:color="auto"/>
        <w:right w:val="none" w:sz="0" w:space="0" w:color="auto"/>
      </w:divBdr>
      <w:divsChild>
        <w:div w:id="281621014">
          <w:marLeft w:val="360"/>
          <w:marRight w:val="0"/>
          <w:marTop w:val="200"/>
          <w:marBottom w:val="0"/>
          <w:divBdr>
            <w:top w:val="none" w:sz="0" w:space="0" w:color="auto"/>
            <w:left w:val="none" w:sz="0" w:space="0" w:color="auto"/>
            <w:bottom w:val="none" w:sz="0" w:space="0" w:color="auto"/>
            <w:right w:val="none" w:sz="0" w:space="0" w:color="auto"/>
          </w:divBdr>
        </w:div>
        <w:div w:id="23602120">
          <w:marLeft w:val="1080"/>
          <w:marRight w:val="0"/>
          <w:marTop w:val="100"/>
          <w:marBottom w:val="0"/>
          <w:divBdr>
            <w:top w:val="none" w:sz="0" w:space="0" w:color="auto"/>
            <w:left w:val="none" w:sz="0" w:space="0" w:color="auto"/>
            <w:bottom w:val="none" w:sz="0" w:space="0" w:color="auto"/>
            <w:right w:val="none" w:sz="0" w:space="0" w:color="auto"/>
          </w:divBdr>
        </w:div>
        <w:div w:id="2125031144">
          <w:marLeft w:val="1080"/>
          <w:marRight w:val="0"/>
          <w:marTop w:val="100"/>
          <w:marBottom w:val="0"/>
          <w:divBdr>
            <w:top w:val="none" w:sz="0" w:space="0" w:color="auto"/>
            <w:left w:val="none" w:sz="0" w:space="0" w:color="auto"/>
            <w:bottom w:val="none" w:sz="0" w:space="0" w:color="auto"/>
            <w:right w:val="none" w:sz="0" w:space="0" w:color="auto"/>
          </w:divBdr>
        </w:div>
        <w:div w:id="35475644">
          <w:marLeft w:val="1080"/>
          <w:marRight w:val="0"/>
          <w:marTop w:val="100"/>
          <w:marBottom w:val="0"/>
          <w:divBdr>
            <w:top w:val="none" w:sz="0" w:space="0" w:color="auto"/>
            <w:left w:val="none" w:sz="0" w:space="0" w:color="auto"/>
            <w:bottom w:val="none" w:sz="0" w:space="0" w:color="auto"/>
            <w:right w:val="none" w:sz="0" w:space="0" w:color="auto"/>
          </w:divBdr>
        </w:div>
        <w:div w:id="1736734388">
          <w:marLeft w:val="1080"/>
          <w:marRight w:val="0"/>
          <w:marTop w:val="100"/>
          <w:marBottom w:val="0"/>
          <w:divBdr>
            <w:top w:val="none" w:sz="0" w:space="0" w:color="auto"/>
            <w:left w:val="none" w:sz="0" w:space="0" w:color="auto"/>
            <w:bottom w:val="none" w:sz="0" w:space="0" w:color="auto"/>
            <w:right w:val="none" w:sz="0" w:space="0" w:color="auto"/>
          </w:divBdr>
        </w:div>
        <w:div w:id="324892686">
          <w:marLeft w:val="1080"/>
          <w:marRight w:val="0"/>
          <w:marTop w:val="100"/>
          <w:marBottom w:val="0"/>
          <w:divBdr>
            <w:top w:val="none" w:sz="0" w:space="0" w:color="auto"/>
            <w:left w:val="none" w:sz="0" w:space="0" w:color="auto"/>
            <w:bottom w:val="none" w:sz="0" w:space="0" w:color="auto"/>
            <w:right w:val="none" w:sz="0" w:space="0" w:color="auto"/>
          </w:divBdr>
        </w:div>
        <w:div w:id="1305619934">
          <w:marLeft w:val="360"/>
          <w:marRight w:val="0"/>
          <w:marTop w:val="200"/>
          <w:marBottom w:val="0"/>
          <w:divBdr>
            <w:top w:val="none" w:sz="0" w:space="0" w:color="auto"/>
            <w:left w:val="none" w:sz="0" w:space="0" w:color="auto"/>
            <w:bottom w:val="none" w:sz="0" w:space="0" w:color="auto"/>
            <w:right w:val="none" w:sz="0" w:space="0" w:color="auto"/>
          </w:divBdr>
        </w:div>
        <w:div w:id="997153349">
          <w:marLeft w:val="1080"/>
          <w:marRight w:val="0"/>
          <w:marTop w:val="100"/>
          <w:marBottom w:val="0"/>
          <w:divBdr>
            <w:top w:val="none" w:sz="0" w:space="0" w:color="auto"/>
            <w:left w:val="none" w:sz="0" w:space="0" w:color="auto"/>
            <w:bottom w:val="none" w:sz="0" w:space="0" w:color="auto"/>
            <w:right w:val="none" w:sz="0" w:space="0" w:color="auto"/>
          </w:divBdr>
        </w:div>
        <w:div w:id="88546177">
          <w:marLeft w:val="1080"/>
          <w:marRight w:val="0"/>
          <w:marTop w:val="100"/>
          <w:marBottom w:val="0"/>
          <w:divBdr>
            <w:top w:val="none" w:sz="0" w:space="0" w:color="auto"/>
            <w:left w:val="none" w:sz="0" w:space="0" w:color="auto"/>
            <w:bottom w:val="none" w:sz="0" w:space="0" w:color="auto"/>
            <w:right w:val="none" w:sz="0" w:space="0" w:color="auto"/>
          </w:divBdr>
        </w:div>
      </w:divsChild>
    </w:div>
    <w:div w:id="902255664">
      <w:bodyDiv w:val="1"/>
      <w:marLeft w:val="0"/>
      <w:marRight w:val="0"/>
      <w:marTop w:val="0"/>
      <w:marBottom w:val="0"/>
      <w:divBdr>
        <w:top w:val="none" w:sz="0" w:space="0" w:color="auto"/>
        <w:left w:val="none" w:sz="0" w:space="0" w:color="auto"/>
        <w:bottom w:val="none" w:sz="0" w:space="0" w:color="auto"/>
        <w:right w:val="none" w:sz="0" w:space="0" w:color="auto"/>
      </w:divBdr>
      <w:divsChild>
        <w:div w:id="1590890942">
          <w:marLeft w:val="360"/>
          <w:marRight w:val="0"/>
          <w:marTop w:val="200"/>
          <w:marBottom w:val="0"/>
          <w:divBdr>
            <w:top w:val="none" w:sz="0" w:space="0" w:color="auto"/>
            <w:left w:val="none" w:sz="0" w:space="0" w:color="auto"/>
            <w:bottom w:val="none" w:sz="0" w:space="0" w:color="auto"/>
            <w:right w:val="none" w:sz="0" w:space="0" w:color="auto"/>
          </w:divBdr>
        </w:div>
        <w:div w:id="1170564658">
          <w:marLeft w:val="360"/>
          <w:marRight w:val="0"/>
          <w:marTop w:val="200"/>
          <w:marBottom w:val="0"/>
          <w:divBdr>
            <w:top w:val="none" w:sz="0" w:space="0" w:color="auto"/>
            <w:left w:val="none" w:sz="0" w:space="0" w:color="auto"/>
            <w:bottom w:val="none" w:sz="0" w:space="0" w:color="auto"/>
            <w:right w:val="none" w:sz="0" w:space="0" w:color="auto"/>
          </w:divBdr>
        </w:div>
        <w:div w:id="1931233802">
          <w:marLeft w:val="360"/>
          <w:marRight w:val="0"/>
          <w:marTop w:val="200"/>
          <w:marBottom w:val="0"/>
          <w:divBdr>
            <w:top w:val="none" w:sz="0" w:space="0" w:color="auto"/>
            <w:left w:val="none" w:sz="0" w:space="0" w:color="auto"/>
            <w:bottom w:val="none" w:sz="0" w:space="0" w:color="auto"/>
            <w:right w:val="none" w:sz="0" w:space="0" w:color="auto"/>
          </w:divBdr>
        </w:div>
        <w:div w:id="1719359975">
          <w:marLeft w:val="360"/>
          <w:marRight w:val="0"/>
          <w:marTop w:val="200"/>
          <w:marBottom w:val="0"/>
          <w:divBdr>
            <w:top w:val="none" w:sz="0" w:space="0" w:color="auto"/>
            <w:left w:val="none" w:sz="0" w:space="0" w:color="auto"/>
            <w:bottom w:val="none" w:sz="0" w:space="0" w:color="auto"/>
            <w:right w:val="none" w:sz="0" w:space="0" w:color="auto"/>
          </w:divBdr>
        </w:div>
        <w:div w:id="1137919776">
          <w:marLeft w:val="360"/>
          <w:marRight w:val="0"/>
          <w:marTop w:val="200"/>
          <w:marBottom w:val="0"/>
          <w:divBdr>
            <w:top w:val="none" w:sz="0" w:space="0" w:color="auto"/>
            <w:left w:val="none" w:sz="0" w:space="0" w:color="auto"/>
            <w:bottom w:val="none" w:sz="0" w:space="0" w:color="auto"/>
            <w:right w:val="none" w:sz="0" w:space="0" w:color="auto"/>
          </w:divBdr>
        </w:div>
      </w:divsChild>
    </w:div>
    <w:div w:id="1045327556">
      <w:bodyDiv w:val="1"/>
      <w:marLeft w:val="0"/>
      <w:marRight w:val="0"/>
      <w:marTop w:val="0"/>
      <w:marBottom w:val="0"/>
      <w:divBdr>
        <w:top w:val="none" w:sz="0" w:space="0" w:color="auto"/>
        <w:left w:val="none" w:sz="0" w:space="0" w:color="auto"/>
        <w:bottom w:val="none" w:sz="0" w:space="0" w:color="auto"/>
        <w:right w:val="none" w:sz="0" w:space="0" w:color="auto"/>
      </w:divBdr>
      <w:divsChild>
        <w:div w:id="426392001">
          <w:marLeft w:val="360"/>
          <w:marRight w:val="0"/>
          <w:marTop w:val="200"/>
          <w:marBottom w:val="0"/>
          <w:divBdr>
            <w:top w:val="none" w:sz="0" w:space="0" w:color="auto"/>
            <w:left w:val="none" w:sz="0" w:space="0" w:color="auto"/>
            <w:bottom w:val="none" w:sz="0" w:space="0" w:color="auto"/>
            <w:right w:val="none" w:sz="0" w:space="0" w:color="auto"/>
          </w:divBdr>
        </w:div>
        <w:div w:id="1000621513">
          <w:marLeft w:val="1080"/>
          <w:marRight w:val="0"/>
          <w:marTop w:val="100"/>
          <w:marBottom w:val="0"/>
          <w:divBdr>
            <w:top w:val="none" w:sz="0" w:space="0" w:color="auto"/>
            <w:left w:val="none" w:sz="0" w:space="0" w:color="auto"/>
            <w:bottom w:val="none" w:sz="0" w:space="0" w:color="auto"/>
            <w:right w:val="none" w:sz="0" w:space="0" w:color="auto"/>
          </w:divBdr>
        </w:div>
        <w:div w:id="1276014418">
          <w:marLeft w:val="1800"/>
          <w:marRight w:val="0"/>
          <w:marTop w:val="100"/>
          <w:marBottom w:val="0"/>
          <w:divBdr>
            <w:top w:val="none" w:sz="0" w:space="0" w:color="auto"/>
            <w:left w:val="none" w:sz="0" w:space="0" w:color="auto"/>
            <w:bottom w:val="none" w:sz="0" w:space="0" w:color="auto"/>
            <w:right w:val="none" w:sz="0" w:space="0" w:color="auto"/>
          </w:divBdr>
        </w:div>
        <w:div w:id="376974745">
          <w:marLeft w:val="1800"/>
          <w:marRight w:val="0"/>
          <w:marTop w:val="100"/>
          <w:marBottom w:val="0"/>
          <w:divBdr>
            <w:top w:val="none" w:sz="0" w:space="0" w:color="auto"/>
            <w:left w:val="none" w:sz="0" w:space="0" w:color="auto"/>
            <w:bottom w:val="none" w:sz="0" w:space="0" w:color="auto"/>
            <w:right w:val="none" w:sz="0" w:space="0" w:color="auto"/>
          </w:divBdr>
        </w:div>
        <w:div w:id="1201892073">
          <w:marLeft w:val="1800"/>
          <w:marRight w:val="0"/>
          <w:marTop w:val="100"/>
          <w:marBottom w:val="0"/>
          <w:divBdr>
            <w:top w:val="none" w:sz="0" w:space="0" w:color="auto"/>
            <w:left w:val="none" w:sz="0" w:space="0" w:color="auto"/>
            <w:bottom w:val="none" w:sz="0" w:space="0" w:color="auto"/>
            <w:right w:val="none" w:sz="0" w:space="0" w:color="auto"/>
          </w:divBdr>
        </w:div>
        <w:div w:id="1369793024">
          <w:marLeft w:val="1800"/>
          <w:marRight w:val="0"/>
          <w:marTop w:val="100"/>
          <w:marBottom w:val="0"/>
          <w:divBdr>
            <w:top w:val="none" w:sz="0" w:space="0" w:color="auto"/>
            <w:left w:val="none" w:sz="0" w:space="0" w:color="auto"/>
            <w:bottom w:val="none" w:sz="0" w:space="0" w:color="auto"/>
            <w:right w:val="none" w:sz="0" w:space="0" w:color="auto"/>
          </w:divBdr>
        </w:div>
      </w:divsChild>
    </w:div>
    <w:div w:id="1081176290">
      <w:bodyDiv w:val="1"/>
      <w:marLeft w:val="0"/>
      <w:marRight w:val="0"/>
      <w:marTop w:val="0"/>
      <w:marBottom w:val="0"/>
      <w:divBdr>
        <w:top w:val="none" w:sz="0" w:space="0" w:color="auto"/>
        <w:left w:val="none" w:sz="0" w:space="0" w:color="auto"/>
        <w:bottom w:val="none" w:sz="0" w:space="0" w:color="auto"/>
        <w:right w:val="none" w:sz="0" w:space="0" w:color="auto"/>
      </w:divBdr>
      <w:divsChild>
        <w:div w:id="581991372">
          <w:marLeft w:val="360"/>
          <w:marRight w:val="0"/>
          <w:marTop w:val="200"/>
          <w:marBottom w:val="0"/>
          <w:divBdr>
            <w:top w:val="none" w:sz="0" w:space="0" w:color="auto"/>
            <w:left w:val="none" w:sz="0" w:space="0" w:color="auto"/>
            <w:bottom w:val="none" w:sz="0" w:space="0" w:color="auto"/>
            <w:right w:val="none" w:sz="0" w:space="0" w:color="auto"/>
          </w:divBdr>
        </w:div>
        <w:div w:id="1513493373">
          <w:marLeft w:val="360"/>
          <w:marRight w:val="0"/>
          <w:marTop w:val="200"/>
          <w:marBottom w:val="0"/>
          <w:divBdr>
            <w:top w:val="none" w:sz="0" w:space="0" w:color="auto"/>
            <w:left w:val="none" w:sz="0" w:space="0" w:color="auto"/>
            <w:bottom w:val="none" w:sz="0" w:space="0" w:color="auto"/>
            <w:right w:val="none" w:sz="0" w:space="0" w:color="auto"/>
          </w:divBdr>
        </w:div>
        <w:div w:id="1632638484">
          <w:marLeft w:val="360"/>
          <w:marRight w:val="0"/>
          <w:marTop w:val="200"/>
          <w:marBottom w:val="0"/>
          <w:divBdr>
            <w:top w:val="none" w:sz="0" w:space="0" w:color="auto"/>
            <w:left w:val="none" w:sz="0" w:space="0" w:color="auto"/>
            <w:bottom w:val="none" w:sz="0" w:space="0" w:color="auto"/>
            <w:right w:val="none" w:sz="0" w:space="0" w:color="auto"/>
          </w:divBdr>
        </w:div>
        <w:div w:id="990216032">
          <w:marLeft w:val="1080"/>
          <w:marRight w:val="0"/>
          <w:marTop w:val="100"/>
          <w:marBottom w:val="0"/>
          <w:divBdr>
            <w:top w:val="none" w:sz="0" w:space="0" w:color="auto"/>
            <w:left w:val="none" w:sz="0" w:space="0" w:color="auto"/>
            <w:bottom w:val="none" w:sz="0" w:space="0" w:color="auto"/>
            <w:right w:val="none" w:sz="0" w:space="0" w:color="auto"/>
          </w:divBdr>
        </w:div>
      </w:divsChild>
    </w:div>
    <w:div w:id="1604606251">
      <w:bodyDiv w:val="1"/>
      <w:marLeft w:val="0"/>
      <w:marRight w:val="0"/>
      <w:marTop w:val="0"/>
      <w:marBottom w:val="0"/>
      <w:divBdr>
        <w:top w:val="none" w:sz="0" w:space="0" w:color="auto"/>
        <w:left w:val="none" w:sz="0" w:space="0" w:color="auto"/>
        <w:bottom w:val="none" w:sz="0" w:space="0" w:color="auto"/>
        <w:right w:val="none" w:sz="0" w:space="0" w:color="auto"/>
      </w:divBdr>
      <w:divsChild>
        <w:div w:id="1767073314">
          <w:marLeft w:val="360"/>
          <w:marRight w:val="0"/>
          <w:marTop w:val="200"/>
          <w:marBottom w:val="0"/>
          <w:divBdr>
            <w:top w:val="none" w:sz="0" w:space="0" w:color="auto"/>
            <w:left w:val="none" w:sz="0" w:space="0" w:color="auto"/>
            <w:bottom w:val="none" w:sz="0" w:space="0" w:color="auto"/>
            <w:right w:val="none" w:sz="0" w:space="0" w:color="auto"/>
          </w:divBdr>
        </w:div>
        <w:div w:id="520165449">
          <w:marLeft w:val="1080"/>
          <w:marRight w:val="0"/>
          <w:marTop w:val="100"/>
          <w:marBottom w:val="0"/>
          <w:divBdr>
            <w:top w:val="none" w:sz="0" w:space="0" w:color="auto"/>
            <w:left w:val="none" w:sz="0" w:space="0" w:color="auto"/>
            <w:bottom w:val="none" w:sz="0" w:space="0" w:color="auto"/>
            <w:right w:val="none" w:sz="0" w:space="0" w:color="auto"/>
          </w:divBdr>
        </w:div>
        <w:div w:id="1913343869">
          <w:marLeft w:val="1080"/>
          <w:marRight w:val="0"/>
          <w:marTop w:val="100"/>
          <w:marBottom w:val="0"/>
          <w:divBdr>
            <w:top w:val="none" w:sz="0" w:space="0" w:color="auto"/>
            <w:left w:val="none" w:sz="0" w:space="0" w:color="auto"/>
            <w:bottom w:val="none" w:sz="0" w:space="0" w:color="auto"/>
            <w:right w:val="none" w:sz="0" w:space="0" w:color="auto"/>
          </w:divBdr>
        </w:div>
        <w:div w:id="1896090024">
          <w:marLeft w:val="360"/>
          <w:marRight w:val="0"/>
          <w:marTop w:val="200"/>
          <w:marBottom w:val="0"/>
          <w:divBdr>
            <w:top w:val="none" w:sz="0" w:space="0" w:color="auto"/>
            <w:left w:val="none" w:sz="0" w:space="0" w:color="auto"/>
            <w:bottom w:val="none" w:sz="0" w:space="0" w:color="auto"/>
            <w:right w:val="none" w:sz="0" w:space="0" w:color="auto"/>
          </w:divBdr>
        </w:div>
        <w:div w:id="1358702694">
          <w:marLeft w:val="1080"/>
          <w:marRight w:val="0"/>
          <w:marTop w:val="100"/>
          <w:marBottom w:val="0"/>
          <w:divBdr>
            <w:top w:val="none" w:sz="0" w:space="0" w:color="auto"/>
            <w:left w:val="none" w:sz="0" w:space="0" w:color="auto"/>
            <w:bottom w:val="none" w:sz="0" w:space="0" w:color="auto"/>
            <w:right w:val="none" w:sz="0" w:space="0" w:color="auto"/>
          </w:divBdr>
        </w:div>
        <w:div w:id="1543127987">
          <w:marLeft w:val="1800"/>
          <w:marRight w:val="0"/>
          <w:marTop w:val="100"/>
          <w:marBottom w:val="0"/>
          <w:divBdr>
            <w:top w:val="none" w:sz="0" w:space="0" w:color="auto"/>
            <w:left w:val="none" w:sz="0" w:space="0" w:color="auto"/>
            <w:bottom w:val="none" w:sz="0" w:space="0" w:color="auto"/>
            <w:right w:val="none" w:sz="0" w:space="0" w:color="auto"/>
          </w:divBdr>
        </w:div>
        <w:div w:id="518665664">
          <w:marLeft w:val="1800"/>
          <w:marRight w:val="0"/>
          <w:marTop w:val="100"/>
          <w:marBottom w:val="0"/>
          <w:divBdr>
            <w:top w:val="none" w:sz="0" w:space="0" w:color="auto"/>
            <w:left w:val="none" w:sz="0" w:space="0" w:color="auto"/>
            <w:bottom w:val="none" w:sz="0" w:space="0" w:color="auto"/>
            <w:right w:val="none" w:sz="0" w:space="0" w:color="auto"/>
          </w:divBdr>
        </w:div>
        <w:div w:id="83695858">
          <w:marLeft w:val="1800"/>
          <w:marRight w:val="0"/>
          <w:marTop w:val="100"/>
          <w:marBottom w:val="0"/>
          <w:divBdr>
            <w:top w:val="none" w:sz="0" w:space="0" w:color="auto"/>
            <w:left w:val="none" w:sz="0" w:space="0" w:color="auto"/>
            <w:bottom w:val="none" w:sz="0" w:space="0" w:color="auto"/>
            <w:right w:val="none" w:sz="0" w:space="0" w:color="auto"/>
          </w:divBdr>
        </w:div>
        <w:div w:id="160776383">
          <w:marLeft w:val="1800"/>
          <w:marRight w:val="0"/>
          <w:marTop w:val="100"/>
          <w:marBottom w:val="0"/>
          <w:divBdr>
            <w:top w:val="none" w:sz="0" w:space="0" w:color="auto"/>
            <w:left w:val="none" w:sz="0" w:space="0" w:color="auto"/>
            <w:bottom w:val="none" w:sz="0" w:space="0" w:color="auto"/>
            <w:right w:val="none" w:sz="0" w:space="0" w:color="auto"/>
          </w:divBdr>
        </w:div>
        <w:div w:id="1109278276">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uc.state.ct.us/ElectronicFiling/RevDPUCElectronicFiling.nsf/IntroForm?OpenFor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marc\AppData\Local\Microsoft\Windows\INetCache\IE\MBQ6EUER\UI-Tariffs-Effective-July1-2019-revise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ersource.com/content/ct-c/residential/my-account/billing-payments/about-your-bill/rates-and-tariffs/electric-tariffs-ru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URA.ExecutiveSecretary@ct.gov" TargetMode="External"/><Relationship Id="rId4" Type="http://schemas.openxmlformats.org/officeDocument/2006/relationships/settings" Target="settings.xml"/><Relationship Id="rId9" Type="http://schemas.openxmlformats.org/officeDocument/2006/relationships/hyperlink" Target="https://portal.ct.gov/PURA/About/Filing-and-Forms/Electronic-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AEBF8-19DF-4DD5-A6A6-9BC626477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9</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Marcelynas</dc:creator>
  <cp:keywords/>
  <dc:description/>
  <cp:lastModifiedBy>Arthur Marcelynas</cp:lastModifiedBy>
  <cp:revision>101</cp:revision>
  <dcterms:created xsi:type="dcterms:W3CDTF">2020-10-05T01:02:00Z</dcterms:created>
  <dcterms:modified xsi:type="dcterms:W3CDTF">2021-02-05T15:43:00Z</dcterms:modified>
</cp:coreProperties>
</file>