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4B52B" w14:textId="77777777" w:rsidR="00152A4A" w:rsidRDefault="00DC68AF" w:rsidP="00152A4A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633B4C" wp14:editId="07E6B9B7">
                <wp:simplePos x="0" y="0"/>
                <wp:positionH relativeFrom="column">
                  <wp:posOffset>-243840</wp:posOffset>
                </wp:positionH>
                <wp:positionV relativeFrom="paragraph">
                  <wp:posOffset>-696595</wp:posOffset>
                </wp:positionV>
                <wp:extent cx="5943600" cy="1236980"/>
                <wp:effectExtent l="0" t="0" r="0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3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D365F" w14:textId="77777777" w:rsidR="007A3192" w:rsidRDefault="007A3192" w:rsidP="00152A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9A05A9" wp14:editId="62D80F04">
                                  <wp:extent cx="6412865" cy="1139825"/>
                                  <wp:effectExtent l="0" t="0" r="6985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2865" cy="1139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33B4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9.2pt;margin-top:-54.85pt;width:468pt;height:97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9tgAIAAA4FAAAOAAAAZHJzL2Uyb0RvYy54bWysVNuO2yAQfa/Uf0C8Z31ZJxtbcVZ7qatK&#10;24u02w8ggGNUDAjY2Nuq/94BJ9l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TjH&#10;SJEeKHrgo0fXekSLUJ3BuAqc7g24+RG2geWYqTN3mn5xSOmbjqgtv7JWDx0nDKLLwsnk5OiE4wLI&#10;ZnivGVxDHr2OQGNr+1A6KAYCdGDp6chMCIXC5rwszhcpmCjYsvx8US4jdwmpDseNdf4t1z0Kkxpb&#10;oD7Ck92d8yEcUh1cwm1OS8EaIWVc2O3mRlq0IyCTJn4xgxduUgVnpcOxCXHagSjhjmAL8Ubav5VZ&#10;XqTXeTlrFsuLWdEU81l5kS5naVZel4u0KIvb5nsIMCuqTjDG1Z1Q/CDBrPg7ivfNMIknihANNS7n&#10;+Xzi6I9JpvH7XZK98NCRUvQ1Xh6dSBWYfaMYpE0qT4Sc5snP4ccqQw0O/1iVqINA/SQCP25GQAni&#10;2Gj2BIqwGvgCbuEZgUmn7VeMBmjJGit4MzCS7xRoqsyKInRwXBTzixwW9tSyObUQRQGoxh6jaXrj&#10;p65/NFZsO7jnoOIr0GEjokKeY9qrF5ouprJ/IEJXn66j1/Mztv4BAAD//wMAUEsDBBQABgAIAAAA&#10;IQD55U0N4AAAAAsBAAAPAAAAZHJzL2Rvd25yZXYueG1sTI/dSsQwEEbvBd8hjODdblpX+2fTRRRB&#10;ERZ29QHSJNsWm0lNstv69o5XevcNc/jmTL1d7MjOxofBoYB0nQAzqJwesBPw8f68KoCFKFHL0aER&#10;8G0CbJvLi1pW2s24N+dD7BiVYKikgD7GqeI8qN5YGdZuMki7o/NWRhp9x7WXM5Xbkd8kScatHJAu&#10;9HIyj71Rn4eTFfA0+PZLuc1Llr+VarcPx/l1x4W4vloe7oFFs8Q/GH71SR0acmrdCXVgo4DVprgl&#10;lEKalDkwQooyz4C1FO5S4E3N///Q/AAAAP//AwBQSwECLQAUAAYACAAAACEAtoM4kv4AAADhAQAA&#10;EwAAAAAAAAAAAAAAAAAAAAAAW0NvbnRlbnRfVHlwZXNdLnhtbFBLAQItABQABgAIAAAAIQA4/SH/&#10;1gAAAJQBAAALAAAAAAAAAAAAAAAAAC8BAABfcmVscy8ucmVsc1BLAQItABQABgAIAAAAIQAHhZ9t&#10;gAIAAA4FAAAOAAAAAAAAAAAAAAAAAC4CAABkcnMvZTJvRG9jLnhtbFBLAQItABQABgAIAAAAIQD5&#10;5U0N4AAAAAsBAAAPAAAAAAAAAAAAAAAAANoEAABkcnMvZG93bnJldi54bWxQSwUGAAAAAAQABADz&#10;AAAA5wUAAAAA&#10;" stroked="f">
                <v:textbox style="mso-fit-shape-to-text:t">
                  <w:txbxContent>
                    <w:p w14:paraId="63DD365F" w14:textId="77777777" w:rsidR="007A3192" w:rsidRDefault="007A3192" w:rsidP="00152A4A">
                      <w:r>
                        <w:rPr>
                          <w:noProof/>
                        </w:rPr>
                        <w:drawing>
                          <wp:inline distT="0" distB="0" distL="0" distR="0" wp14:anchorId="4F9A05A9" wp14:editId="62D80F04">
                            <wp:extent cx="6412865" cy="1139825"/>
                            <wp:effectExtent l="0" t="0" r="6985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12865" cy="1139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B771A8C" w14:textId="77777777" w:rsidR="007C5B8A" w:rsidRDefault="007C5B8A" w:rsidP="007C5B8A">
      <w:pPr>
        <w:jc w:val="center"/>
        <w:rPr>
          <w:szCs w:val="24"/>
        </w:rPr>
      </w:pPr>
    </w:p>
    <w:p w14:paraId="1342444E" w14:textId="77777777" w:rsidR="00B426F2" w:rsidRPr="002B7ECD" w:rsidRDefault="00B426F2" w:rsidP="007C5B8A">
      <w:pPr>
        <w:jc w:val="center"/>
        <w:rPr>
          <w:szCs w:val="24"/>
        </w:rPr>
      </w:pPr>
    </w:p>
    <w:p w14:paraId="704316D6" w14:textId="77777777" w:rsidR="00B426F2" w:rsidRPr="00B426F2" w:rsidRDefault="00B426F2" w:rsidP="00B426F2">
      <w:pPr>
        <w:jc w:val="center"/>
        <w:rPr>
          <w:szCs w:val="24"/>
        </w:rPr>
      </w:pPr>
      <w:r w:rsidRPr="00B426F2">
        <w:rPr>
          <w:szCs w:val="24"/>
        </w:rPr>
        <w:t>CONNECTICUT DISTRIBUTED GENERATION TECHNICAL WORKING GROUP</w:t>
      </w:r>
    </w:p>
    <w:p w14:paraId="58CFF9EA" w14:textId="77777777" w:rsidR="00B426F2" w:rsidRDefault="00B426F2" w:rsidP="007C5B8A">
      <w:pPr>
        <w:jc w:val="center"/>
        <w:rPr>
          <w:szCs w:val="24"/>
          <w:u w:val="single"/>
        </w:rPr>
      </w:pPr>
    </w:p>
    <w:p w14:paraId="3DB36EAF" w14:textId="3F025A34" w:rsidR="007C5B8A" w:rsidRPr="002B7ECD" w:rsidRDefault="003A094D" w:rsidP="007C5B8A">
      <w:pPr>
        <w:jc w:val="center"/>
        <w:rPr>
          <w:szCs w:val="24"/>
          <w:u w:val="single"/>
        </w:rPr>
      </w:pPr>
      <w:r>
        <w:rPr>
          <w:szCs w:val="24"/>
          <w:u w:val="single"/>
        </w:rPr>
        <w:t>REGULAR MEETING AGENDA</w:t>
      </w:r>
    </w:p>
    <w:p w14:paraId="27A9FFE6" w14:textId="4ABE9249" w:rsidR="007C5B8A" w:rsidRPr="002B7ECD" w:rsidRDefault="00B40579" w:rsidP="007C5B8A">
      <w:pPr>
        <w:jc w:val="center"/>
        <w:rPr>
          <w:szCs w:val="24"/>
        </w:rPr>
      </w:pPr>
      <w:r>
        <w:rPr>
          <w:szCs w:val="24"/>
        </w:rPr>
        <w:t>Tuesday</w:t>
      </w:r>
      <w:r w:rsidR="00B426F2">
        <w:rPr>
          <w:szCs w:val="24"/>
        </w:rPr>
        <w:t xml:space="preserve">, </w:t>
      </w:r>
      <w:r w:rsidR="00282546">
        <w:rPr>
          <w:szCs w:val="24"/>
        </w:rPr>
        <w:t>October</w:t>
      </w:r>
      <w:r>
        <w:rPr>
          <w:szCs w:val="24"/>
        </w:rPr>
        <w:t xml:space="preserve"> </w:t>
      </w:r>
      <w:r w:rsidR="00282546">
        <w:rPr>
          <w:szCs w:val="24"/>
        </w:rPr>
        <w:t>19</w:t>
      </w:r>
      <w:r w:rsidR="00B426F2" w:rsidRPr="00B426F2">
        <w:rPr>
          <w:szCs w:val="24"/>
        </w:rPr>
        <w:t>, 2021</w:t>
      </w:r>
    </w:p>
    <w:p w14:paraId="3FCAE99B" w14:textId="321373CD" w:rsidR="00126A02" w:rsidRPr="00B426F2" w:rsidRDefault="00126A02" w:rsidP="00E553DF">
      <w:pPr>
        <w:jc w:val="center"/>
        <w:rPr>
          <w:rFonts w:cs="Arial"/>
          <w:szCs w:val="24"/>
        </w:rPr>
      </w:pPr>
      <w:r w:rsidRPr="00B426F2">
        <w:rPr>
          <w:rFonts w:cs="Arial"/>
          <w:szCs w:val="24"/>
        </w:rPr>
        <w:t xml:space="preserve">9:00 AM – </w:t>
      </w:r>
      <w:r w:rsidR="00255DC5">
        <w:rPr>
          <w:rFonts w:cs="Arial"/>
          <w:szCs w:val="24"/>
        </w:rPr>
        <w:t>1</w:t>
      </w:r>
      <w:r w:rsidR="00604717">
        <w:rPr>
          <w:rFonts w:cs="Arial"/>
          <w:szCs w:val="24"/>
        </w:rPr>
        <w:t>1</w:t>
      </w:r>
      <w:r w:rsidR="00255DC5">
        <w:rPr>
          <w:rFonts w:cs="Arial"/>
          <w:szCs w:val="24"/>
        </w:rPr>
        <w:t>:</w:t>
      </w:r>
      <w:r w:rsidR="00604717">
        <w:rPr>
          <w:rFonts w:cs="Arial"/>
          <w:szCs w:val="24"/>
        </w:rPr>
        <w:t>0</w:t>
      </w:r>
      <w:r w:rsidR="00644830">
        <w:rPr>
          <w:rFonts w:cs="Arial"/>
          <w:szCs w:val="24"/>
        </w:rPr>
        <w:t>0</w:t>
      </w:r>
      <w:r w:rsidRPr="00B426F2">
        <w:rPr>
          <w:rFonts w:cs="Arial"/>
          <w:szCs w:val="24"/>
        </w:rPr>
        <w:t xml:space="preserve"> </w:t>
      </w:r>
      <w:r w:rsidR="00282546">
        <w:rPr>
          <w:rFonts w:cs="Arial"/>
          <w:szCs w:val="24"/>
        </w:rPr>
        <w:t>A</w:t>
      </w:r>
      <w:r w:rsidRPr="00B426F2">
        <w:rPr>
          <w:rFonts w:cs="Arial"/>
          <w:szCs w:val="24"/>
        </w:rPr>
        <w:t>M</w:t>
      </w:r>
    </w:p>
    <w:p w14:paraId="03D58092" w14:textId="60E16983" w:rsidR="00E553DF" w:rsidRDefault="00346B97" w:rsidP="00255DC5">
      <w:pPr>
        <w:pStyle w:val="ListParagraph"/>
        <w:ind w:left="0"/>
        <w:jc w:val="center"/>
        <w:rPr>
          <w:rFonts w:cs="Arial"/>
          <w:i/>
          <w:szCs w:val="24"/>
        </w:rPr>
      </w:pPr>
      <w:r>
        <w:rPr>
          <w:rFonts w:cs="Arial"/>
          <w:szCs w:val="24"/>
        </w:rPr>
        <w:t xml:space="preserve">Location: </w:t>
      </w:r>
      <w:hyperlink r:id="rId12" w:history="1">
        <w:r w:rsidRPr="00346B97">
          <w:rPr>
            <w:rStyle w:val="Hyperlink"/>
            <w:rFonts w:cs="Arial"/>
            <w:szCs w:val="24"/>
          </w:rPr>
          <w:t>Microsoft Teams</w:t>
        </w:r>
      </w:hyperlink>
    </w:p>
    <w:p w14:paraId="12263EBE" w14:textId="77777777" w:rsidR="003B425F" w:rsidRPr="00BF0AAC" w:rsidRDefault="003B425F" w:rsidP="00E553DF">
      <w:pPr>
        <w:pStyle w:val="ListParagraph"/>
        <w:ind w:left="1080"/>
        <w:jc w:val="center"/>
        <w:rPr>
          <w:rFonts w:cs="Arial"/>
          <w:i/>
          <w:szCs w:val="24"/>
        </w:rPr>
      </w:pPr>
    </w:p>
    <w:p w14:paraId="7FDAC00D" w14:textId="10CC5DE9" w:rsidR="00B426F2" w:rsidRDefault="00B426F2" w:rsidP="00126A02">
      <w:pPr>
        <w:jc w:val="both"/>
        <w:rPr>
          <w:rFonts w:cs="Arial"/>
          <w:szCs w:val="24"/>
        </w:rPr>
      </w:pPr>
    </w:p>
    <w:p w14:paraId="0281FFB7" w14:textId="6ADB6071" w:rsidR="00A86777" w:rsidRDefault="00126A02" w:rsidP="00126A02">
      <w:pPr>
        <w:jc w:val="both"/>
        <w:rPr>
          <w:rFonts w:cs="Arial"/>
          <w:b/>
          <w:szCs w:val="24"/>
        </w:rPr>
      </w:pPr>
      <w:r w:rsidRPr="00B426F2">
        <w:rPr>
          <w:rFonts w:cs="Arial"/>
          <w:b/>
          <w:szCs w:val="24"/>
        </w:rPr>
        <w:t>9:00 AM – 9:</w:t>
      </w:r>
      <w:r w:rsidR="005F0251">
        <w:rPr>
          <w:rFonts w:cs="Arial"/>
          <w:b/>
          <w:szCs w:val="24"/>
        </w:rPr>
        <w:t>0</w:t>
      </w:r>
      <w:r w:rsidRPr="00B426F2">
        <w:rPr>
          <w:rFonts w:cs="Arial"/>
          <w:b/>
          <w:szCs w:val="24"/>
        </w:rPr>
        <w:t>5 AM</w:t>
      </w:r>
      <w:r w:rsidRPr="00B426F2">
        <w:rPr>
          <w:rFonts w:cs="Arial"/>
          <w:b/>
          <w:szCs w:val="24"/>
        </w:rPr>
        <w:tab/>
      </w:r>
      <w:r w:rsidRPr="00B426F2">
        <w:rPr>
          <w:rFonts w:cs="Arial"/>
          <w:b/>
          <w:szCs w:val="24"/>
        </w:rPr>
        <w:tab/>
        <w:t>Introduction</w:t>
      </w:r>
      <w:r w:rsidR="005F0251">
        <w:rPr>
          <w:rFonts w:cs="Arial"/>
          <w:b/>
          <w:szCs w:val="24"/>
        </w:rPr>
        <w:t xml:space="preserve"> and Adoption of Meeting Minutes</w:t>
      </w:r>
    </w:p>
    <w:p w14:paraId="4BF689CE" w14:textId="03316C59" w:rsidR="00BF0AAC" w:rsidRPr="003163CD" w:rsidRDefault="002B3C3B" w:rsidP="003163CD">
      <w:pPr>
        <w:pStyle w:val="ListParagraph"/>
        <w:numPr>
          <w:ilvl w:val="0"/>
          <w:numId w:val="22"/>
        </w:numPr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Carl </w:t>
      </w:r>
      <w:proofErr w:type="spellStart"/>
      <w:r>
        <w:rPr>
          <w:rFonts w:cs="Arial"/>
          <w:szCs w:val="24"/>
        </w:rPr>
        <w:t>N</w:t>
      </w:r>
      <w:r w:rsidR="00E31EEB">
        <w:rPr>
          <w:rFonts w:cs="Arial"/>
          <w:szCs w:val="24"/>
        </w:rPr>
        <w:t>owiszewski</w:t>
      </w:r>
      <w:proofErr w:type="spellEnd"/>
      <w:r>
        <w:rPr>
          <w:rFonts w:cs="Arial"/>
          <w:szCs w:val="24"/>
        </w:rPr>
        <w:t xml:space="preserve"> suggested that the final meeting of 2021 be a planning meeting at which the group can decide the 2022 meeting schedule, meeting topics, and wrap up any outstanding issues.</w:t>
      </w:r>
    </w:p>
    <w:p w14:paraId="6EE062A9" w14:textId="77777777" w:rsidR="003163CD" w:rsidRDefault="003163CD" w:rsidP="00126A02">
      <w:pPr>
        <w:jc w:val="both"/>
        <w:rPr>
          <w:rFonts w:cs="Arial"/>
          <w:b/>
          <w:szCs w:val="24"/>
        </w:rPr>
      </w:pPr>
    </w:p>
    <w:p w14:paraId="43C2E216" w14:textId="5A7DD558" w:rsidR="00081B26" w:rsidRDefault="00081B26" w:rsidP="00081B26">
      <w:pPr>
        <w:ind w:left="2880" w:hanging="288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Solar plus Storage Discussion</w:t>
      </w:r>
      <w:r w:rsidR="003871C8">
        <w:rPr>
          <w:rFonts w:cs="Arial"/>
          <w:b/>
          <w:szCs w:val="24"/>
        </w:rPr>
        <w:t xml:space="preserve"> </w:t>
      </w:r>
      <w:r w:rsidR="00A7057F">
        <w:rPr>
          <w:rFonts w:cs="Arial"/>
          <w:b/>
          <w:szCs w:val="24"/>
        </w:rPr>
        <w:t>(9:05 AM – 1</w:t>
      </w:r>
      <w:r w:rsidR="003871C8">
        <w:rPr>
          <w:rFonts w:cs="Arial"/>
          <w:b/>
          <w:szCs w:val="24"/>
        </w:rPr>
        <w:t>1:0</w:t>
      </w:r>
      <w:r w:rsidR="00644830">
        <w:rPr>
          <w:rFonts w:cs="Arial"/>
          <w:b/>
          <w:szCs w:val="24"/>
        </w:rPr>
        <w:t>0</w:t>
      </w:r>
      <w:r w:rsidR="00A7057F">
        <w:rPr>
          <w:rFonts w:cs="Arial"/>
          <w:b/>
          <w:szCs w:val="24"/>
        </w:rPr>
        <w:t xml:space="preserve"> AM)</w:t>
      </w:r>
    </w:p>
    <w:p w14:paraId="50FF8A76" w14:textId="2FDDCE8C" w:rsidR="00282546" w:rsidRPr="00103775" w:rsidRDefault="003871C8" w:rsidP="00081B26">
      <w:pPr>
        <w:pStyle w:val="ListParagraph"/>
        <w:numPr>
          <w:ilvl w:val="0"/>
          <w:numId w:val="2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Automatic Transfer Switches (“ATS”)</w:t>
      </w:r>
    </w:p>
    <w:p w14:paraId="7E7648F5" w14:textId="1B5A3226" w:rsidR="00A7057F" w:rsidRDefault="003871C8" w:rsidP="00A7057F">
      <w:pPr>
        <w:pStyle w:val="ListParagraph"/>
        <w:numPr>
          <w:ilvl w:val="1"/>
          <w:numId w:val="2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The Green Bank is looking for clarity on ATS requirements in order to island and on the approval process for </w:t>
      </w:r>
      <w:r w:rsidR="00B90085">
        <w:rPr>
          <w:rFonts w:cs="Arial"/>
          <w:szCs w:val="24"/>
        </w:rPr>
        <w:t>new devices</w:t>
      </w:r>
    </w:p>
    <w:p w14:paraId="6E428D54" w14:textId="21AAB8C8" w:rsidR="00B90085" w:rsidRPr="00103775" w:rsidRDefault="00B90085" w:rsidP="00A7057F">
      <w:pPr>
        <w:pStyle w:val="ListParagraph"/>
        <w:numPr>
          <w:ilvl w:val="1"/>
          <w:numId w:val="2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Per Eversource, the approval process for meter socket devices requires greater scrutiny than other ATS because there are standard meter sockets in the I&amp;R book and these devices are outside of standard configurations</w:t>
      </w:r>
    </w:p>
    <w:p w14:paraId="14AE67F8" w14:textId="76878096" w:rsidR="00B90085" w:rsidRDefault="00B90085" w:rsidP="00A7057F">
      <w:pPr>
        <w:pStyle w:val="ListParagraph"/>
        <w:numPr>
          <w:ilvl w:val="1"/>
          <w:numId w:val="2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Eversource does not approve ATS devices on the customer-side; that’s up to </w:t>
      </w:r>
      <w:r w:rsidR="00316501">
        <w:rPr>
          <w:rFonts w:cs="Arial"/>
          <w:szCs w:val="24"/>
        </w:rPr>
        <w:t>the local building inspector</w:t>
      </w:r>
    </w:p>
    <w:p w14:paraId="3B865505" w14:textId="4F302999" w:rsidR="00B90085" w:rsidRDefault="00316501" w:rsidP="00A7057F">
      <w:pPr>
        <w:pStyle w:val="ListParagraph"/>
        <w:numPr>
          <w:ilvl w:val="1"/>
          <w:numId w:val="2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Despite the prohibition on meter socket devices, some contractors are still installing unapproved meter-socket devices</w:t>
      </w:r>
    </w:p>
    <w:p w14:paraId="49879660" w14:textId="41964C59" w:rsidR="00B90085" w:rsidRDefault="00316501" w:rsidP="00A7057F">
      <w:pPr>
        <w:pStyle w:val="ListParagraph"/>
        <w:numPr>
          <w:ilvl w:val="1"/>
          <w:numId w:val="2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Mike Farrell noted that sometimes he finds unapproved </w:t>
      </w:r>
      <w:proofErr w:type="spellStart"/>
      <w:r>
        <w:rPr>
          <w:rFonts w:cs="Arial"/>
          <w:szCs w:val="24"/>
        </w:rPr>
        <w:t>Gener</w:t>
      </w:r>
      <w:r w:rsidR="00AF3C55">
        <w:rPr>
          <w:rFonts w:cs="Arial"/>
          <w:szCs w:val="24"/>
        </w:rPr>
        <w:t>L</w:t>
      </w:r>
      <w:bookmarkStart w:id="0" w:name="_GoBack"/>
      <w:bookmarkEnd w:id="0"/>
      <w:r>
        <w:rPr>
          <w:rFonts w:cs="Arial"/>
          <w:szCs w:val="24"/>
        </w:rPr>
        <w:t>ink</w:t>
      </w:r>
      <w:proofErr w:type="spellEnd"/>
      <w:r>
        <w:rPr>
          <w:rFonts w:cs="Arial"/>
          <w:szCs w:val="24"/>
        </w:rPr>
        <w:t xml:space="preserve"> switches, which must be removed as they are not compatible with solar systems</w:t>
      </w:r>
    </w:p>
    <w:p w14:paraId="3ED8ACBC" w14:textId="3180F33E" w:rsidR="00316501" w:rsidRDefault="00576A7E" w:rsidP="00A7057F">
      <w:pPr>
        <w:pStyle w:val="ListParagraph"/>
        <w:numPr>
          <w:ilvl w:val="1"/>
          <w:numId w:val="2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From the EDC perspective, the main concern with meter socket switches </w:t>
      </w:r>
      <w:r w:rsidR="00E31EEB">
        <w:rPr>
          <w:rFonts w:cs="Arial"/>
          <w:szCs w:val="24"/>
        </w:rPr>
        <w:t>is preventing power flow back onto the grid and ensuring that technicians are properly trained so they can safely interact with these devices in the field</w:t>
      </w:r>
    </w:p>
    <w:p w14:paraId="310420E4" w14:textId="21F1B0C2" w:rsidR="00316501" w:rsidRDefault="00E31EEB" w:rsidP="00E31EEB">
      <w:pPr>
        <w:pStyle w:val="ListParagraph"/>
        <w:numPr>
          <w:ilvl w:val="0"/>
          <w:numId w:val="2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Terminology Discussion on Storage</w:t>
      </w:r>
    </w:p>
    <w:p w14:paraId="5016D80B" w14:textId="155063B9" w:rsidR="00E31EEB" w:rsidRDefault="00E31EEB" w:rsidP="00E31EEB">
      <w:pPr>
        <w:pStyle w:val="ListParagraph"/>
        <w:numPr>
          <w:ilvl w:val="1"/>
          <w:numId w:val="2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David Ferrante noted </w:t>
      </w:r>
      <w:r w:rsidR="007774C5">
        <w:rPr>
          <w:rFonts w:cs="Arial"/>
          <w:szCs w:val="24"/>
        </w:rPr>
        <w:t>that the term “standalone storage” is being used improperly</w:t>
      </w:r>
      <w:r w:rsidR="00A84EE5">
        <w:rPr>
          <w:rFonts w:cs="Arial"/>
          <w:szCs w:val="24"/>
        </w:rPr>
        <w:t xml:space="preserve"> to refer to storage located behind a load, e.g. a battery installed in a residence without on-site generation.  “Standalone storage” should be used only for systems not behind another load.</w:t>
      </w:r>
    </w:p>
    <w:p w14:paraId="2A7EF243" w14:textId="347AEEEB" w:rsidR="00A84EE5" w:rsidRDefault="00A84EE5" w:rsidP="00E31EEB">
      <w:pPr>
        <w:pStyle w:val="ListParagraph"/>
        <w:numPr>
          <w:ilvl w:val="1"/>
          <w:numId w:val="2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Mike Farrell agrees that the term is confusing and that a more appropriate set of terminology is “storage with solar” and “storage without solar.” </w:t>
      </w:r>
    </w:p>
    <w:p w14:paraId="6B2C81AA" w14:textId="7872A99A" w:rsidR="00A84EE5" w:rsidRDefault="00A84EE5" w:rsidP="00A84EE5">
      <w:pPr>
        <w:pStyle w:val="ListParagraph"/>
        <w:numPr>
          <w:ilvl w:val="2"/>
          <w:numId w:val="2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The working group agrees to use these terms</w:t>
      </w:r>
    </w:p>
    <w:p w14:paraId="61E16B5C" w14:textId="41273CA3" w:rsidR="00A84EE5" w:rsidRDefault="00A84EE5" w:rsidP="00A84EE5">
      <w:pPr>
        <w:pStyle w:val="ListParagraph"/>
        <w:numPr>
          <w:ilvl w:val="0"/>
          <w:numId w:val="2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Discussion on Solar and Storage Configurations under new tariff</w:t>
      </w:r>
      <w:r w:rsidR="005509ED">
        <w:rPr>
          <w:rFonts w:cs="Arial"/>
          <w:szCs w:val="24"/>
        </w:rPr>
        <w:t>s</w:t>
      </w:r>
      <w:r w:rsidR="0099667E">
        <w:rPr>
          <w:rFonts w:cs="Arial"/>
          <w:szCs w:val="24"/>
        </w:rPr>
        <w:t xml:space="preserve"> </w:t>
      </w:r>
    </w:p>
    <w:p w14:paraId="194E069E" w14:textId="3E9085CE" w:rsidR="0099667E" w:rsidRDefault="0099667E" w:rsidP="0099667E">
      <w:pPr>
        <w:pStyle w:val="ListParagraph"/>
        <w:numPr>
          <w:ilvl w:val="1"/>
          <w:numId w:val="2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Working group viewed draft wiring diagrams for various residential solar and/or storage configurations </w:t>
      </w:r>
    </w:p>
    <w:p w14:paraId="0DD9C98D" w14:textId="189D9330" w:rsidR="00A84EE5" w:rsidRDefault="005509ED" w:rsidP="00A84EE5">
      <w:pPr>
        <w:pStyle w:val="ListParagraph"/>
        <w:numPr>
          <w:ilvl w:val="1"/>
          <w:numId w:val="2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Adding a second solar system to an existing net metering system would not require new screens to be developed; EDC would aggregate the two systems and use the existing screens.</w:t>
      </w:r>
    </w:p>
    <w:p w14:paraId="70245DE5" w14:textId="6BE0FE36" w:rsidR="005509ED" w:rsidRDefault="005509ED" w:rsidP="00A84EE5">
      <w:pPr>
        <w:pStyle w:val="ListParagraph"/>
        <w:numPr>
          <w:ilvl w:val="1"/>
          <w:numId w:val="2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The EDCs look at the aggregate AC value of a system and not the DC rating because the AC rating of the inverter is the chokepoint of the system</w:t>
      </w:r>
    </w:p>
    <w:p w14:paraId="31853B81" w14:textId="6CEC08F9" w:rsidR="005509ED" w:rsidRDefault="005509ED" w:rsidP="00A84EE5">
      <w:pPr>
        <w:pStyle w:val="ListParagraph"/>
        <w:numPr>
          <w:ilvl w:val="1"/>
          <w:numId w:val="2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Sam asked a question about whether a residence can have a system in excess of 25kW if the surplus load was metered separately</w:t>
      </w:r>
    </w:p>
    <w:p w14:paraId="36211F7C" w14:textId="5A06A0D7" w:rsidR="005509ED" w:rsidRDefault="0099667E" w:rsidP="00A84EE5">
      <w:pPr>
        <w:pStyle w:val="ListParagraph"/>
        <w:numPr>
          <w:ilvl w:val="1"/>
          <w:numId w:val="2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Green bank stated that this would be possible but the system beyond 25kW would have to be separately metered and under a different tariff</w:t>
      </w:r>
    </w:p>
    <w:p w14:paraId="4B55371D" w14:textId="11A3892D" w:rsidR="0099667E" w:rsidRDefault="0099667E" w:rsidP="00A84EE5">
      <w:pPr>
        <w:pStyle w:val="ListParagraph"/>
        <w:numPr>
          <w:ilvl w:val="1"/>
          <w:numId w:val="2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Carl noted that the new program administrators, Hannah and Marissa, have been doing presentations on this topic and could provide clarity</w:t>
      </w:r>
    </w:p>
    <w:p w14:paraId="39F77A6F" w14:textId="3625B2A4" w:rsidR="0099667E" w:rsidRDefault="0099667E" w:rsidP="00A84EE5">
      <w:pPr>
        <w:pStyle w:val="ListParagraph"/>
        <w:numPr>
          <w:ilvl w:val="1"/>
          <w:numId w:val="2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Green Bank asked whether it was possible to charge a battery in a storage with solar system set up in the buy-all configuration</w:t>
      </w:r>
    </w:p>
    <w:p w14:paraId="5F4301B0" w14:textId="59E12C80" w:rsidR="0099667E" w:rsidRDefault="0099667E" w:rsidP="0099667E">
      <w:pPr>
        <w:pStyle w:val="ListParagraph"/>
        <w:numPr>
          <w:ilvl w:val="2"/>
          <w:numId w:val="2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Eversource noted that although technically feasible, the way the transaction is structured under the tariff, it is a </w:t>
      </w:r>
      <w:r w:rsidR="00872EC1">
        <w:rPr>
          <w:rFonts w:cs="Arial"/>
          <w:szCs w:val="24"/>
        </w:rPr>
        <w:t>practical impossibility</w:t>
      </w:r>
    </w:p>
    <w:p w14:paraId="2E751A25" w14:textId="4485A35D" w:rsidR="00872EC1" w:rsidRDefault="00872EC1" w:rsidP="0099667E">
      <w:pPr>
        <w:pStyle w:val="ListParagraph"/>
        <w:numPr>
          <w:ilvl w:val="2"/>
          <w:numId w:val="2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Mike Farrell states that he would use the netting tariff if a new customer wanted a solar plus storage configuration</w:t>
      </w:r>
    </w:p>
    <w:p w14:paraId="55D8F216" w14:textId="5D129DD7" w:rsidR="00872EC1" w:rsidRDefault="00872EC1" w:rsidP="00872EC1">
      <w:pPr>
        <w:pStyle w:val="ListParagraph"/>
        <w:numPr>
          <w:ilvl w:val="1"/>
          <w:numId w:val="2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Green Bank mentioned that a storage without solar system could participate in the new battery incentive program</w:t>
      </w:r>
    </w:p>
    <w:p w14:paraId="2E3E39AB" w14:textId="79445DA5" w:rsidR="00872EC1" w:rsidRDefault="00872EC1" w:rsidP="00872EC1">
      <w:pPr>
        <w:pStyle w:val="ListParagraph"/>
        <w:numPr>
          <w:ilvl w:val="1"/>
          <w:numId w:val="2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David Ferrante mentioned that most storage without solar is installed in lieu of a generator and that those customers </w:t>
      </w:r>
      <w:r w:rsidR="0095784D">
        <w:rPr>
          <w:rFonts w:cs="Arial"/>
          <w:szCs w:val="24"/>
        </w:rPr>
        <w:t>may not want to participate in the program</w:t>
      </w:r>
    </w:p>
    <w:p w14:paraId="4EC988FD" w14:textId="5624B1BE" w:rsidR="0095784D" w:rsidRDefault="0095784D" w:rsidP="00872EC1">
      <w:pPr>
        <w:pStyle w:val="ListParagraph"/>
        <w:numPr>
          <w:ilvl w:val="1"/>
          <w:numId w:val="2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Paul </w:t>
      </w:r>
      <w:proofErr w:type="spellStart"/>
      <w:r>
        <w:rPr>
          <w:rFonts w:cs="Arial"/>
          <w:szCs w:val="24"/>
        </w:rPr>
        <w:t>Tangredi</w:t>
      </w:r>
      <w:proofErr w:type="spellEnd"/>
      <w:r>
        <w:rPr>
          <w:rFonts w:cs="Arial"/>
          <w:szCs w:val="24"/>
        </w:rPr>
        <w:t xml:space="preserve"> also raised the complicating factor that a battery without on-site generation is not considered a QF and therefore would require the customer to pay for bidirectional metering and sales would occur under a different tariff.  Paul suggested that the economics of battery-only export should be reexamined because he doesn’t think that it will </w:t>
      </w:r>
      <w:r w:rsidR="00047941">
        <w:rPr>
          <w:rFonts w:cs="Arial"/>
          <w:szCs w:val="24"/>
        </w:rPr>
        <w:t>make up a significant portion of the program as it may not make economic sense for these customers to participate.</w:t>
      </w:r>
    </w:p>
    <w:p w14:paraId="58C39DFD" w14:textId="05ED8709" w:rsidR="00047941" w:rsidRDefault="00047941" w:rsidP="00872EC1">
      <w:pPr>
        <w:pStyle w:val="ListParagraph"/>
        <w:numPr>
          <w:ilvl w:val="1"/>
          <w:numId w:val="2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David Ferrante noted that a battery could expect an 18% loss in efficiency if it charged and discharged from the grid</w:t>
      </w:r>
    </w:p>
    <w:p w14:paraId="04620996" w14:textId="5804955B" w:rsidR="00047941" w:rsidRDefault="00047941" w:rsidP="00872EC1">
      <w:pPr>
        <w:pStyle w:val="ListParagraph"/>
        <w:numPr>
          <w:ilvl w:val="1"/>
          <w:numId w:val="2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The Green Bank noted that all batteries installed under the new program are assumed to participate int eh battery incentive program and are not able to arbitrage on time-of-use rates like they do in Massachusetts or California</w:t>
      </w:r>
    </w:p>
    <w:p w14:paraId="42E29E7F" w14:textId="31949BBC" w:rsidR="00047941" w:rsidRDefault="008A6D5D" w:rsidP="00872EC1">
      <w:pPr>
        <w:pStyle w:val="ListParagraph"/>
        <w:numPr>
          <w:ilvl w:val="1"/>
          <w:numId w:val="2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Arbitrage was not built into the program design; the focus was on resiliency and the distribution system</w:t>
      </w:r>
    </w:p>
    <w:p w14:paraId="2D274A33" w14:textId="4B55F42B" w:rsidR="008A6D5D" w:rsidRDefault="008A6D5D" w:rsidP="00872EC1">
      <w:pPr>
        <w:pStyle w:val="ListParagraph"/>
        <w:numPr>
          <w:ilvl w:val="1"/>
          <w:numId w:val="2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It was assumed that a customer without solar would charge outside of TOU high rates</w:t>
      </w:r>
    </w:p>
    <w:p w14:paraId="3B84E7E5" w14:textId="2D2BF084" w:rsidR="008A6D5D" w:rsidRDefault="008A6D5D" w:rsidP="00872EC1">
      <w:pPr>
        <w:pStyle w:val="ListParagraph"/>
        <w:numPr>
          <w:ilvl w:val="1"/>
          <w:numId w:val="2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Sam asked whether demand charge management would be considered arbitrage </w:t>
      </w:r>
    </w:p>
    <w:p w14:paraId="09B6CB80" w14:textId="3509A256" w:rsidR="008A6D5D" w:rsidRDefault="008A6D5D" w:rsidP="00872EC1">
      <w:pPr>
        <w:pStyle w:val="ListParagraph"/>
        <w:numPr>
          <w:ilvl w:val="1"/>
          <w:numId w:val="2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Per Green Bank if a C&amp;I customer’s discharge time coincides with their peak, it could have a positive effect but all program participants will be required to allow the utility to control its discharge settings</w:t>
      </w:r>
    </w:p>
    <w:p w14:paraId="4DA598CE" w14:textId="23A7A5A6" w:rsidR="008A6D5D" w:rsidRDefault="008A6D5D" w:rsidP="008A6D5D">
      <w:pPr>
        <w:pStyle w:val="ListParagraph"/>
        <w:numPr>
          <w:ilvl w:val="0"/>
          <w:numId w:val="2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Discussion on Transmission studies</w:t>
      </w:r>
    </w:p>
    <w:p w14:paraId="718A896C" w14:textId="5F3952E0" w:rsidR="008A6D5D" w:rsidRDefault="00EC333A" w:rsidP="008A6D5D">
      <w:pPr>
        <w:pStyle w:val="ListParagraph"/>
        <w:numPr>
          <w:ilvl w:val="1"/>
          <w:numId w:val="2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John </w:t>
      </w:r>
      <w:proofErr w:type="spellStart"/>
      <w:r>
        <w:rPr>
          <w:rFonts w:cs="Arial"/>
          <w:szCs w:val="24"/>
        </w:rPr>
        <w:t>Demay</w:t>
      </w:r>
      <w:proofErr w:type="spellEnd"/>
      <w:r>
        <w:rPr>
          <w:rFonts w:cs="Arial"/>
          <w:szCs w:val="24"/>
        </w:rPr>
        <w:t xml:space="preserve"> asked questions on when transmission studies were needed for projects connecting to substations that have greater than 20MW of DERs already interconnected</w:t>
      </w:r>
    </w:p>
    <w:p w14:paraId="4AA673C2" w14:textId="0997B51C" w:rsidR="00FD7B4B" w:rsidRPr="00EC333A" w:rsidRDefault="00EC333A" w:rsidP="001E48C0">
      <w:pPr>
        <w:pStyle w:val="ListParagraph"/>
        <w:numPr>
          <w:ilvl w:val="1"/>
          <w:numId w:val="21"/>
        </w:numPr>
        <w:jc w:val="both"/>
        <w:rPr>
          <w:rFonts w:cs="Arial"/>
          <w:b/>
          <w:szCs w:val="24"/>
        </w:rPr>
      </w:pPr>
      <w:r w:rsidRPr="00EC333A">
        <w:rPr>
          <w:rFonts w:cs="Arial"/>
          <w:szCs w:val="24"/>
        </w:rPr>
        <w:lastRenderedPageBreak/>
        <w:t xml:space="preserve">Brad </w:t>
      </w:r>
      <w:proofErr w:type="spellStart"/>
      <w:r>
        <w:t>Marszalkowski</w:t>
      </w:r>
      <w:proofErr w:type="spellEnd"/>
      <w:r>
        <w:t xml:space="preserve"> stated that it’s up to the transmission owner to decide whether to do a comprehensive analysis for each such project or to wait and do a cluster study; each project, however, would need a study</w:t>
      </w:r>
    </w:p>
    <w:p w14:paraId="1C0BB2DD" w14:textId="1A7A4EEE" w:rsidR="00EC333A" w:rsidRPr="00EC333A" w:rsidRDefault="00EC333A" w:rsidP="001E48C0">
      <w:pPr>
        <w:pStyle w:val="ListParagraph"/>
        <w:numPr>
          <w:ilvl w:val="1"/>
          <w:numId w:val="21"/>
        </w:numPr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The EDCs stated that they loop in the transmission planning organization when they receive applications that require transmission studies and try to notify the applicants as soon as possible. </w:t>
      </w:r>
    </w:p>
    <w:p w14:paraId="5092BA9E" w14:textId="4FE3BF6B" w:rsidR="00EC333A" w:rsidRPr="00EC333A" w:rsidRDefault="00EC333A" w:rsidP="001E48C0">
      <w:pPr>
        <w:pStyle w:val="ListParagraph"/>
        <w:numPr>
          <w:ilvl w:val="1"/>
          <w:numId w:val="21"/>
        </w:numPr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The EDCs try to do the transmission and distribution studies at the same time</w:t>
      </w:r>
    </w:p>
    <w:p w14:paraId="784BAAB6" w14:textId="77777777" w:rsidR="00EC333A" w:rsidRPr="00EC333A" w:rsidRDefault="00EC333A" w:rsidP="001E48C0">
      <w:pPr>
        <w:pStyle w:val="ListParagraph"/>
        <w:numPr>
          <w:ilvl w:val="1"/>
          <w:numId w:val="21"/>
        </w:numPr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The EDCs don’t have an official process for cluster studies, but Eversource has recently done one, UI has not done a cluster study to-date</w:t>
      </w:r>
    </w:p>
    <w:p w14:paraId="3673C7A8" w14:textId="65E40975" w:rsidR="00EC333A" w:rsidRPr="00EC333A" w:rsidRDefault="00EC333A" w:rsidP="00EC333A">
      <w:pPr>
        <w:pStyle w:val="ListParagraph"/>
        <w:ind w:left="1080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</w:p>
    <w:p w14:paraId="3EE3C0FD" w14:textId="581F3BA9" w:rsidR="00FF18CF" w:rsidRPr="008E151E" w:rsidRDefault="00FF18CF" w:rsidP="008E151E">
      <w:pPr>
        <w:jc w:val="both"/>
        <w:rPr>
          <w:rFonts w:cs="Arial"/>
          <w:szCs w:val="24"/>
        </w:rPr>
      </w:pPr>
    </w:p>
    <w:p w14:paraId="3DAC83D3" w14:textId="1E4A0321" w:rsidR="004E6C31" w:rsidRDefault="004E6C31" w:rsidP="00126A02">
      <w:pPr>
        <w:jc w:val="both"/>
        <w:rPr>
          <w:rFonts w:cs="Arial"/>
          <w:b/>
          <w:szCs w:val="24"/>
        </w:rPr>
      </w:pPr>
    </w:p>
    <w:p w14:paraId="3244BFFB" w14:textId="77777777" w:rsidR="00336B04" w:rsidRPr="00336B04" w:rsidRDefault="00336B04" w:rsidP="00336B04">
      <w:pPr>
        <w:pStyle w:val="ListParagraph"/>
        <w:jc w:val="both"/>
        <w:rPr>
          <w:rFonts w:cs="Arial"/>
          <w:szCs w:val="24"/>
          <w:u w:val="single"/>
        </w:rPr>
      </w:pPr>
    </w:p>
    <w:sectPr w:rsidR="00336B04" w:rsidRPr="00336B04" w:rsidSect="0067222B">
      <w:footerReference w:type="first" r:id="rId13"/>
      <w:pgSz w:w="12240" w:h="15840" w:code="1"/>
      <w:pgMar w:top="1440" w:right="1440" w:bottom="1440" w:left="1440" w:header="720" w:footer="720" w:gutter="0"/>
      <w:paperSrc w:first="3" w:other="3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38F0D" w14:textId="77777777" w:rsidR="00D31385" w:rsidRDefault="00D31385" w:rsidP="00327991">
      <w:r>
        <w:separator/>
      </w:r>
    </w:p>
  </w:endnote>
  <w:endnote w:type="continuationSeparator" w:id="0">
    <w:p w14:paraId="7C147A20" w14:textId="77777777" w:rsidR="00D31385" w:rsidRDefault="00D31385" w:rsidP="0032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F7418" w14:textId="77777777" w:rsidR="007A3192" w:rsidRPr="0067222B" w:rsidRDefault="007A3192" w:rsidP="00680B7C">
    <w:pPr>
      <w:tabs>
        <w:tab w:val="center" w:pos="4680"/>
        <w:tab w:val="right" w:pos="9360"/>
      </w:tabs>
      <w:jc w:val="center"/>
      <w:rPr>
        <w:rFonts w:ascii="Bodoni MT" w:hAnsi="Bodoni MT" w:cs="AngsanaUPC"/>
        <w:b/>
        <w:color w:val="1F497D"/>
        <w:sz w:val="20"/>
        <w:szCs w:val="20"/>
      </w:rPr>
    </w:pPr>
    <w:r w:rsidRPr="0067222B">
      <w:rPr>
        <w:rFonts w:ascii="Bodoni MT" w:hAnsi="Bodoni MT" w:cs="AngsanaUPC"/>
        <w:b/>
        <w:color w:val="1F497D"/>
        <w:sz w:val="20"/>
        <w:szCs w:val="20"/>
      </w:rPr>
      <w:t>10 Franklin Square, New Britain, CT 06051</w:t>
    </w:r>
  </w:p>
  <w:p w14:paraId="5EA571FE" w14:textId="77777777" w:rsidR="007A3192" w:rsidRPr="009200CE" w:rsidRDefault="007A3192" w:rsidP="00680B7C">
    <w:pPr>
      <w:tabs>
        <w:tab w:val="center" w:pos="4680"/>
        <w:tab w:val="right" w:pos="9360"/>
      </w:tabs>
      <w:jc w:val="center"/>
      <w:rPr>
        <w:rFonts w:ascii="Bodoni MT" w:hAnsi="Bodoni MT"/>
        <w:color w:val="1F497D"/>
        <w:sz w:val="18"/>
        <w:szCs w:val="18"/>
      </w:rPr>
    </w:pPr>
    <w:r w:rsidRPr="009200CE">
      <w:rPr>
        <w:rFonts w:ascii="Bodoni MT" w:hAnsi="Bodoni MT"/>
        <w:color w:val="1F497D"/>
        <w:sz w:val="18"/>
        <w:szCs w:val="18"/>
      </w:rPr>
      <w:t>An Equal Opportunity Employer</w:t>
    </w:r>
  </w:p>
  <w:p w14:paraId="0C12FCBC" w14:textId="77777777" w:rsidR="007A3192" w:rsidRPr="0067222B" w:rsidRDefault="007A3192" w:rsidP="0067222B">
    <w:pPr>
      <w:tabs>
        <w:tab w:val="center" w:pos="4680"/>
        <w:tab w:val="right" w:pos="9360"/>
      </w:tabs>
      <w:jc w:val="center"/>
      <w:rPr>
        <w:rFonts w:ascii="Bodoni MT" w:hAnsi="Bodoni MT"/>
        <w:color w:val="1F497D"/>
        <w:sz w:val="18"/>
        <w:szCs w:val="18"/>
      </w:rPr>
    </w:pPr>
    <w:r>
      <w:rPr>
        <w:rFonts w:ascii="Bodoni MT" w:hAnsi="Bodoni MT"/>
        <w:color w:val="1F497D"/>
        <w:sz w:val="18"/>
        <w:szCs w:val="18"/>
      </w:rPr>
      <w:t>www.ct.gov/pura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307CE" w14:textId="77777777" w:rsidR="00D31385" w:rsidRDefault="00D31385" w:rsidP="00327991">
      <w:r>
        <w:separator/>
      </w:r>
    </w:p>
  </w:footnote>
  <w:footnote w:type="continuationSeparator" w:id="0">
    <w:p w14:paraId="2D7C2E5A" w14:textId="77777777" w:rsidR="00D31385" w:rsidRDefault="00D31385" w:rsidP="00327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1F26176"/>
    <w:multiLevelType w:val="hybridMultilevel"/>
    <w:tmpl w:val="73ACF2F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36745A3"/>
    <w:multiLevelType w:val="hybridMultilevel"/>
    <w:tmpl w:val="51D4B3B6"/>
    <w:lvl w:ilvl="0" w:tplc="200824C8">
      <w:numFmt w:val="bullet"/>
      <w:lvlText w:val="-"/>
      <w:lvlJc w:val="left"/>
      <w:pPr>
        <w:ind w:left="32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51C4076"/>
    <w:multiLevelType w:val="multilevel"/>
    <w:tmpl w:val="66BC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9B2321"/>
    <w:multiLevelType w:val="hybridMultilevel"/>
    <w:tmpl w:val="DA7C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96C1C"/>
    <w:multiLevelType w:val="hybridMultilevel"/>
    <w:tmpl w:val="88689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357B27"/>
    <w:multiLevelType w:val="hybridMultilevel"/>
    <w:tmpl w:val="B1ACB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327938"/>
    <w:multiLevelType w:val="hybridMultilevel"/>
    <w:tmpl w:val="7C5A0CCE"/>
    <w:lvl w:ilvl="0" w:tplc="281C33F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DE3116"/>
    <w:multiLevelType w:val="hybridMultilevel"/>
    <w:tmpl w:val="4AC8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E4430"/>
    <w:multiLevelType w:val="multilevel"/>
    <w:tmpl w:val="44C46ECA"/>
    <w:styleLink w:val="Decision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350"/>
        </w:tabs>
        <w:ind w:left="99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 w15:restartNumberingAfterBreak="0">
    <w:nsid w:val="505E5E8D"/>
    <w:multiLevelType w:val="hybridMultilevel"/>
    <w:tmpl w:val="1B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35681"/>
    <w:multiLevelType w:val="hybridMultilevel"/>
    <w:tmpl w:val="D318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A6503"/>
    <w:multiLevelType w:val="hybridMultilevel"/>
    <w:tmpl w:val="D3E23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5387C"/>
    <w:multiLevelType w:val="hybridMultilevel"/>
    <w:tmpl w:val="422046FC"/>
    <w:lvl w:ilvl="0" w:tplc="281C33F4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58C70ED7"/>
    <w:multiLevelType w:val="multilevel"/>
    <w:tmpl w:val="103A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CD5F15"/>
    <w:multiLevelType w:val="multilevel"/>
    <w:tmpl w:val="E1DE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607431"/>
    <w:multiLevelType w:val="hybridMultilevel"/>
    <w:tmpl w:val="8844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70E93"/>
    <w:multiLevelType w:val="hybridMultilevel"/>
    <w:tmpl w:val="F834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41CFD"/>
    <w:multiLevelType w:val="hybridMultilevel"/>
    <w:tmpl w:val="ECD066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76848"/>
    <w:multiLevelType w:val="hybridMultilevel"/>
    <w:tmpl w:val="9BF8F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22645"/>
    <w:multiLevelType w:val="hybridMultilevel"/>
    <w:tmpl w:val="C8D2A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8"/>
  </w:num>
  <w:num w:numId="4">
    <w:abstractNumId w:val="7"/>
  </w:num>
  <w:num w:numId="5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6">
    <w:abstractNumId w:val="8"/>
  </w:num>
  <w:num w:numId="7">
    <w:abstractNumId w:val="20"/>
  </w:num>
  <w:num w:numId="8">
    <w:abstractNumId w:val="4"/>
  </w:num>
  <w:num w:numId="9">
    <w:abstractNumId w:val="12"/>
  </w:num>
  <w:num w:numId="10">
    <w:abstractNumId w:val="11"/>
  </w:num>
  <w:num w:numId="11">
    <w:abstractNumId w:val="19"/>
  </w:num>
  <w:num w:numId="12">
    <w:abstractNumId w:val="17"/>
  </w:num>
  <w:num w:numId="13">
    <w:abstractNumId w:val="2"/>
  </w:num>
  <w:num w:numId="14">
    <w:abstractNumId w:val="15"/>
  </w:num>
  <w:num w:numId="15">
    <w:abstractNumId w:val="14"/>
  </w:num>
  <w:num w:numId="16">
    <w:abstractNumId w:val="3"/>
  </w:num>
  <w:num w:numId="17">
    <w:abstractNumId w:val="16"/>
  </w:num>
  <w:num w:numId="18">
    <w:abstractNumId w:val="10"/>
  </w:num>
  <w:num w:numId="19">
    <w:abstractNumId w:val="1"/>
  </w:num>
  <w:num w:numId="20">
    <w:abstractNumId w:val="13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02"/>
    <w:rsid w:val="00004F7C"/>
    <w:rsid w:val="00011B6C"/>
    <w:rsid w:val="00016489"/>
    <w:rsid w:val="00030F6A"/>
    <w:rsid w:val="0004217E"/>
    <w:rsid w:val="00047941"/>
    <w:rsid w:val="000756BF"/>
    <w:rsid w:val="000773DA"/>
    <w:rsid w:val="000801B8"/>
    <w:rsid w:val="00081B26"/>
    <w:rsid w:val="00083166"/>
    <w:rsid w:val="00084364"/>
    <w:rsid w:val="00093D63"/>
    <w:rsid w:val="000A613A"/>
    <w:rsid w:val="000A77D2"/>
    <w:rsid w:val="000B5E67"/>
    <w:rsid w:val="000D58E6"/>
    <w:rsid w:val="000E54CF"/>
    <w:rsid w:val="00100ADE"/>
    <w:rsid w:val="0010296C"/>
    <w:rsid w:val="00103775"/>
    <w:rsid w:val="0011108E"/>
    <w:rsid w:val="001140C0"/>
    <w:rsid w:val="00116DE4"/>
    <w:rsid w:val="00124B5C"/>
    <w:rsid w:val="00126A02"/>
    <w:rsid w:val="00132E6C"/>
    <w:rsid w:val="00134972"/>
    <w:rsid w:val="00141745"/>
    <w:rsid w:val="00151031"/>
    <w:rsid w:val="00152A4A"/>
    <w:rsid w:val="00156E59"/>
    <w:rsid w:val="00165354"/>
    <w:rsid w:val="00166334"/>
    <w:rsid w:val="0016637C"/>
    <w:rsid w:val="0018405E"/>
    <w:rsid w:val="001840EA"/>
    <w:rsid w:val="001A1782"/>
    <w:rsid w:val="001A2A63"/>
    <w:rsid w:val="001A534F"/>
    <w:rsid w:val="001A5AB8"/>
    <w:rsid w:val="001B6D95"/>
    <w:rsid w:val="001B7D77"/>
    <w:rsid w:val="001C6AA1"/>
    <w:rsid w:val="001E12AB"/>
    <w:rsid w:val="001E7BF2"/>
    <w:rsid w:val="001F2792"/>
    <w:rsid w:val="00201472"/>
    <w:rsid w:val="00255DC5"/>
    <w:rsid w:val="00280AC2"/>
    <w:rsid w:val="00282546"/>
    <w:rsid w:val="0028491F"/>
    <w:rsid w:val="002A0AB9"/>
    <w:rsid w:val="002A6F77"/>
    <w:rsid w:val="002A7193"/>
    <w:rsid w:val="002B25E0"/>
    <w:rsid w:val="002B3C3B"/>
    <w:rsid w:val="002B5E27"/>
    <w:rsid w:val="002B6CAE"/>
    <w:rsid w:val="002C267A"/>
    <w:rsid w:val="002C5FFD"/>
    <w:rsid w:val="002D1E9B"/>
    <w:rsid w:val="002D2E71"/>
    <w:rsid w:val="002E1D3C"/>
    <w:rsid w:val="002F6A85"/>
    <w:rsid w:val="003163CD"/>
    <w:rsid w:val="00316501"/>
    <w:rsid w:val="00325A95"/>
    <w:rsid w:val="00327991"/>
    <w:rsid w:val="00331438"/>
    <w:rsid w:val="00335923"/>
    <w:rsid w:val="00336B04"/>
    <w:rsid w:val="00337AEA"/>
    <w:rsid w:val="0034500B"/>
    <w:rsid w:val="00346B97"/>
    <w:rsid w:val="003506F4"/>
    <w:rsid w:val="00351CE5"/>
    <w:rsid w:val="00353B8D"/>
    <w:rsid w:val="00354FA1"/>
    <w:rsid w:val="00354FF0"/>
    <w:rsid w:val="003561F1"/>
    <w:rsid w:val="00356939"/>
    <w:rsid w:val="00365121"/>
    <w:rsid w:val="00376609"/>
    <w:rsid w:val="00383349"/>
    <w:rsid w:val="00383F95"/>
    <w:rsid w:val="00384372"/>
    <w:rsid w:val="003871C8"/>
    <w:rsid w:val="00397B63"/>
    <w:rsid w:val="003A094D"/>
    <w:rsid w:val="003A18CB"/>
    <w:rsid w:val="003A7383"/>
    <w:rsid w:val="003B0613"/>
    <w:rsid w:val="003B425F"/>
    <w:rsid w:val="003C2E7E"/>
    <w:rsid w:val="003D0D0E"/>
    <w:rsid w:val="00426E4D"/>
    <w:rsid w:val="00434A1B"/>
    <w:rsid w:val="0043679C"/>
    <w:rsid w:val="004408CB"/>
    <w:rsid w:val="00440FF7"/>
    <w:rsid w:val="004A1200"/>
    <w:rsid w:val="004B5283"/>
    <w:rsid w:val="004C0DF5"/>
    <w:rsid w:val="004C34DA"/>
    <w:rsid w:val="004C4771"/>
    <w:rsid w:val="004D1AFF"/>
    <w:rsid w:val="004E15E0"/>
    <w:rsid w:val="004E35C6"/>
    <w:rsid w:val="004E67C1"/>
    <w:rsid w:val="004E6C31"/>
    <w:rsid w:val="004E75FF"/>
    <w:rsid w:val="004F4298"/>
    <w:rsid w:val="004F6183"/>
    <w:rsid w:val="005046D3"/>
    <w:rsid w:val="00506BA3"/>
    <w:rsid w:val="00540C90"/>
    <w:rsid w:val="005509ED"/>
    <w:rsid w:val="00552D3F"/>
    <w:rsid w:val="0055444A"/>
    <w:rsid w:val="0056049A"/>
    <w:rsid w:val="005637FB"/>
    <w:rsid w:val="005653A2"/>
    <w:rsid w:val="00576A79"/>
    <w:rsid w:val="00576A7E"/>
    <w:rsid w:val="00577D4C"/>
    <w:rsid w:val="0058123A"/>
    <w:rsid w:val="00593B8B"/>
    <w:rsid w:val="005A29A0"/>
    <w:rsid w:val="005A2DDB"/>
    <w:rsid w:val="005A7669"/>
    <w:rsid w:val="005B7A46"/>
    <w:rsid w:val="005C670B"/>
    <w:rsid w:val="005D76C6"/>
    <w:rsid w:val="005E29EF"/>
    <w:rsid w:val="005E599B"/>
    <w:rsid w:val="005F0251"/>
    <w:rsid w:val="005F2F6F"/>
    <w:rsid w:val="005F3C90"/>
    <w:rsid w:val="005F7A09"/>
    <w:rsid w:val="00604717"/>
    <w:rsid w:val="00605397"/>
    <w:rsid w:val="006274EC"/>
    <w:rsid w:val="00631E03"/>
    <w:rsid w:val="00643D71"/>
    <w:rsid w:val="00644830"/>
    <w:rsid w:val="006456CE"/>
    <w:rsid w:val="00664F63"/>
    <w:rsid w:val="00670A31"/>
    <w:rsid w:val="00671846"/>
    <w:rsid w:val="0067222B"/>
    <w:rsid w:val="00676F0E"/>
    <w:rsid w:val="00677719"/>
    <w:rsid w:val="00680B7C"/>
    <w:rsid w:val="00681341"/>
    <w:rsid w:val="00681487"/>
    <w:rsid w:val="006817FF"/>
    <w:rsid w:val="00687235"/>
    <w:rsid w:val="00691508"/>
    <w:rsid w:val="0069356B"/>
    <w:rsid w:val="00695AFC"/>
    <w:rsid w:val="006A1AEB"/>
    <w:rsid w:val="006A1E14"/>
    <w:rsid w:val="006A28F0"/>
    <w:rsid w:val="006A5563"/>
    <w:rsid w:val="006A798C"/>
    <w:rsid w:val="006B67EE"/>
    <w:rsid w:val="006C5B2F"/>
    <w:rsid w:val="006C7FDA"/>
    <w:rsid w:val="006E2647"/>
    <w:rsid w:val="006E2CF3"/>
    <w:rsid w:val="006F1E1D"/>
    <w:rsid w:val="006F5C1D"/>
    <w:rsid w:val="007338BA"/>
    <w:rsid w:val="00737564"/>
    <w:rsid w:val="00737C20"/>
    <w:rsid w:val="00737EF8"/>
    <w:rsid w:val="007406B8"/>
    <w:rsid w:val="00754D1A"/>
    <w:rsid w:val="00770A31"/>
    <w:rsid w:val="007774C5"/>
    <w:rsid w:val="00780B5A"/>
    <w:rsid w:val="007825DB"/>
    <w:rsid w:val="0078501F"/>
    <w:rsid w:val="00796042"/>
    <w:rsid w:val="007A3192"/>
    <w:rsid w:val="007A4C07"/>
    <w:rsid w:val="007A63CC"/>
    <w:rsid w:val="007A6439"/>
    <w:rsid w:val="007B2F17"/>
    <w:rsid w:val="007C2627"/>
    <w:rsid w:val="007C5B8A"/>
    <w:rsid w:val="007C7898"/>
    <w:rsid w:val="007C7AA7"/>
    <w:rsid w:val="007D30C9"/>
    <w:rsid w:val="007D51DD"/>
    <w:rsid w:val="007E0A18"/>
    <w:rsid w:val="007E221A"/>
    <w:rsid w:val="007E36E2"/>
    <w:rsid w:val="00803E2C"/>
    <w:rsid w:val="00807ED6"/>
    <w:rsid w:val="00810E21"/>
    <w:rsid w:val="0081277D"/>
    <w:rsid w:val="008248D3"/>
    <w:rsid w:val="00834BCC"/>
    <w:rsid w:val="0084017E"/>
    <w:rsid w:val="008417F4"/>
    <w:rsid w:val="008620BA"/>
    <w:rsid w:val="00867BC1"/>
    <w:rsid w:val="00872EC1"/>
    <w:rsid w:val="00875237"/>
    <w:rsid w:val="00882F45"/>
    <w:rsid w:val="00886E8F"/>
    <w:rsid w:val="00895934"/>
    <w:rsid w:val="008A3873"/>
    <w:rsid w:val="008A402F"/>
    <w:rsid w:val="008A6D5D"/>
    <w:rsid w:val="008B204E"/>
    <w:rsid w:val="008B38F9"/>
    <w:rsid w:val="008C7F73"/>
    <w:rsid w:val="008D1641"/>
    <w:rsid w:val="008D7E56"/>
    <w:rsid w:val="008E151E"/>
    <w:rsid w:val="00900BC8"/>
    <w:rsid w:val="00913981"/>
    <w:rsid w:val="00913C44"/>
    <w:rsid w:val="009200CE"/>
    <w:rsid w:val="009232E1"/>
    <w:rsid w:val="0092597C"/>
    <w:rsid w:val="00927F0C"/>
    <w:rsid w:val="00936856"/>
    <w:rsid w:val="00941C1F"/>
    <w:rsid w:val="00951FE4"/>
    <w:rsid w:val="00953080"/>
    <w:rsid w:val="009546C2"/>
    <w:rsid w:val="0095784D"/>
    <w:rsid w:val="00975AC5"/>
    <w:rsid w:val="00982FCB"/>
    <w:rsid w:val="00983C3E"/>
    <w:rsid w:val="00990E84"/>
    <w:rsid w:val="0099667E"/>
    <w:rsid w:val="009971A8"/>
    <w:rsid w:val="009A6920"/>
    <w:rsid w:val="009B64F1"/>
    <w:rsid w:val="009D4730"/>
    <w:rsid w:val="009E3479"/>
    <w:rsid w:val="00A07C1A"/>
    <w:rsid w:val="00A14AB3"/>
    <w:rsid w:val="00A1797B"/>
    <w:rsid w:val="00A24230"/>
    <w:rsid w:val="00A417E6"/>
    <w:rsid w:val="00A4266A"/>
    <w:rsid w:val="00A7057F"/>
    <w:rsid w:val="00A70EAE"/>
    <w:rsid w:val="00A82579"/>
    <w:rsid w:val="00A84EE5"/>
    <w:rsid w:val="00A86777"/>
    <w:rsid w:val="00AD3F46"/>
    <w:rsid w:val="00AD51B3"/>
    <w:rsid w:val="00AE7C0B"/>
    <w:rsid w:val="00AF26CB"/>
    <w:rsid w:val="00AF3C55"/>
    <w:rsid w:val="00B00091"/>
    <w:rsid w:val="00B05EFD"/>
    <w:rsid w:val="00B13BBB"/>
    <w:rsid w:val="00B26312"/>
    <w:rsid w:val="00B305D4"/>
    <w:rsid w:val="00B40579"/>
    <w:rsid w:val="00B4124C"/>
    <w:rsid w:val="00B426F2"/>
    <w:rsid w:val="00B535DD"/>
    <w:rsid w:val="00B53F4A"/>
    <w:rsid w:val="00B72787"/>
    <w:rsid w:val="00B90085"/>
    <w:rsid w:val="00B9109F"/>
    <w:rsid w:val="00BA1D64"/>
    <w:rsid w:val="00BA27DD"/>
    <w:rsid w:val="00BA74F2"/>
    <w:rsid w:val="00BB2CC7"/>
    <w:rsid w:val="00BC6E56"/>
    <w:rsid w:val="00BC7227"/>
    <w:rsid w:val="00BC79CE"/>
    <w:rsid w:val="00BD4DEB"/>
    <w:rsid w:val="00BE1A70"/>
    <w:rsid w:val="00BE2076"/>
    <w:rsid w:val="00BF0AAC"/>
    <w:rsid w:val="00C136DC"/>
    <w:rsid w:val="00C300B5"/>
    <w:rsid w:val="00C373A2"/>
    <w:rsid w:val="00C4198A"/>
    <w:rsid w:val="00C442C2"/>
    <w:rsid w:val="00C53C24"/>
    <w:rsid w:val="00C5773E"/>
    <w:rsid w:val="00C60889"/>
    <w:rsid w:val="00C7111C"/>
    <w:rsid w:val="00C73CE7"/>
    <w:rsid w:val="00C73E26"/>
    <w:rsid w:val="00C7727B"/>
    <w:rsid w:val="00C83075"/>
    <w:rsid w:val="00CA1F38"/>
    <w:rsid w:val="00CA22C5"/>
    <w:rsid w:val="00CA3986"/>
    <w:rsid w:val="00CD5159"/>
    <w:rsid w:val="00CF1F3F"/>
    <w:rsid w:val="00CF667B"/>
    <w:rsid w:val="00D006F6"/>
    <w:rsid w:val="00D21D01"/>
    <w:rsid w:val="00D27733"/>
    <w:rsid w:val="00D31385"/>
    <w:rsid w:val="00D3222C"/>
    <w:rsid w:val="00D4046E"/>
    <w:rsid w:val="00D460F6"/>
    <w:rsid w:val="00D64765"/>
    <w:rsid w:val="00D85A3A"/>
    <w:rsid w:val="00D85E39"/>
    <w:rsid w:val="00D86EA9"/>
    <w:rsid w:val="00D969F3"/>
    <w:rsid w:val="00DA2309"/>
    <w:rsid w:val="00DB448B"/>
    <w:rsid w:val="00DC68AF"/>
    <w:rsid w:val="00DC6D40"/>
    <w:rsid w:val="00DD1059"/>
    <w:rsid w:val="00DD735D"/>
    <w:rsid w:val="00DE0E38"/>
    <w:rsid w:val="00DF5F8D"/>
    <w:rsid w:val="00DF7EF5"/>
    <w:rsid w:val="00E048E2"/>
    <w:rsid w:val="00E04E83"/>
    <w:rsid w:val="00E05B48"/>
    <w:rsid w:val="00E2447C"/>
    <w:rsid w:val="00E306C8"/>
    <w:rsid w:val="00E31EEB"/>
    <w:rsid w:val="00E553DF"/>
    <w:rsid w:val="00E6086B"/>
    <w:rsid w:val="00E70117"/>
    <w:rsid w:val="00E873AE"/>
    <w:rsid w:val="00E91AA6"/>
    <w:rsid w:val="00E95DDC"/>
    <w:rsid w:val="00E970D1"/>
    <w:rsid w:val="00EA0ECC"/>
    <w:rsid w:val="00EA6F0E"/>
    <w:rsid w:val="00EC0D27"/>
    <w:rsid w:val="00EC0DF7"/>
    <w:rsid w:val="00EC103F"/>
    <w:rsid w:val="00EC295A"/>
    <w:rsid w:val="00EC333A"/>
    <w:rsid w:val="00EC7A55"/>
    <w:rsid w:val="00ED0239"/>
    <w:rsid w:val="00EF40C8"/>
    <w:rsid w:val="00EF79FB"/>
    <w:rsid w:val="00F06C93"/>
    <w:rsid w:val="00F10EFF"/>
    <w:rsid w:val="00F302A9"/>
    <w:rsid w:val="00F32FE2"/>
    <w:rsid w:val="00F45502"/>
    <w:rsid w:val="00F47293"/>
    <w:rsid w:val="00F72437"/>
    <w:rsid w:val="00F74194"/>
    <w:rsid w:val="00F93AE5"/>
    <w:rsid w:val="00F94511"/>
    <w:rsid w:val="00F960B5"/>
    <w:rsid w:val="00FB0E70"/>
    <w:rsid w:val="00FB1867"/>
    <w:rsid w:val="00FB6A85"/>
    <w:rsid w:val="00FB7E2D"/>
    <w:rsid w:val="00FC4404"/>
    <w:rsid w:val="00FC77A5"/>
    <w:rsid w:val="00FD7B4B"/>
    <w:rsid w:val="00FF18CF"/>
    <w:rsid w:val="01845703"/>
    <w:rsid w:val="1C498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5E9B5"/>
  <w15:docId w15:val="{5CBD79A3-63F9-47D3-88A7-E8790850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0CE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016489"/>
    <w:pPr>
      <w:numPr>
        <w:numId w:val="1"/>
      </w:numPr>
      <w:tabs>
        <w:tab w:val="left" w:pos="720"/>
      </w:tabs>
      <w:jc w:val="both"/>
      <w:outlineLvl w:val="0"/>
    </w:pPr>
    <w:rPr>
      <w:rFonts w:eastAsia="Times New Roman"/>
      <w:b/>
      <w:caps/>
      <w:szCs w:val="20"/>
    </w:rPr>
  </w:style>
  <w:style w:type="paragraph" w:styleId="Heading2">
    <w:name w:val="heading 2"/>
    <w:basedOn w:val="Normal"/>
    <w:next w:val="Normal"/>
    <w:link w:val="Heading2Char"/>
    <w:qFormat/>
    <w:rsid w:val="00016489"/>
    <w:pPr>
      <w:numPr>
        <w:ilvl w:val="1"/>
        <w:numId w:val="1"/>
      </w:numPr>
      <w:tabs>
        <w:tab w:val="left" w:pos="720"/>
      </w:tabs>
      <w:jc w:val="both"/>
      <w:outlineLvl w:val="1"/>
    </w:pPr>
    <w:rPr>
      <w:rFonts w:eastAsia="Times New Roman"/>
      <w:b/>
      <w:smallCaps/>
      <w:szCs w:val="20"/>
    </w:rPr>
  </w:style>
  <w:style w:type="paragraph" w:styleId="Heading3">
    <w:name w:val="heading 3"/>
    <w:basedOn w:val="Normal"/>
    <w:next w:val="Normal"/>
    <w:link w:val="Heading3Char"/>
    <w:qFormat/>
    <w:rsid w:val="00016489"/>
    <w:pPr>
      <w:numPr>
        <w:ilvl w:val="2"/>
        <w:numId w:val="1"/>
      </w:numPr>
      <w:tabs>
        <w:tab w:val="left" w:pos="720"/>
      </w:tabs>
      <w:jc w:val="both"/>
      <w:outlineLvl w:val="2"/>
    </w:pPr>
    <w:rPr>
      <w:rFonts w:eastAsia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016489"/>
    <w:pPr>
      <w:numPr>
        <w:ilvl w:val="3"/>
        <w:numId w:val="1"/>
      </w:numPr>
      <w:tabs>
        <w:tab w:val="left" w:pos="720"/>
      </w:tabs>
      <w:jc w:val="both"/>
      <w:outlineLvl w:val="3"/>
    </w:pPr>
    <w:rPr>
      <w:rFonts w:eastAsia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016489"/>
    <w:pPr>
      <w:numPr>
        <w:ilvl w:val="4"/>
        <w:numId w:val="1"/>
      </w:numPr>
      <w:tabs>
        <w:tab w:val="left" w:pos="720"/>
      </w:tabs>
      <w:jc w:val="both"/>
      <w:outlineLvl w:val="4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79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7991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3279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7991"/>
    <w:rPr>
      <w:rFonts w:ascii="Arial" w:hAnsi="Arial"/>
      <w:sz w:val="24"/>
    </w:rPr>
  </w:style>
  <w:style w:type="character" w:styleId="Hyperlink">
    <w:name w:val="Hyperlink"/>
    <w:uiPriority w:val="99"/>
    <w:unhideWhenUsed/>
    <w:rsid w:val="0032799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648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16489"/>
    <w:rPr>
      <w:rFonts w:ascii="Arial" w:hAnsi="Arial"/>
    </w:rPr>
  </w:style>
  <w:style w:type="character" w:customStyle="1" w:styleId="Heading1Char">
    <w:name w:val="Heading 1 Char"/>
    <w:link w:val="Heading1"/>
    <w:rsid w:val="00016489"/>
    <w:rPr>
      <w:rFonts w:ascii="Arial" w:eastAsia="Times New Roman" w:hAnsi="Arial"/>
      <w:b/>
      <w:caps/>
      <w:sz w:val="24"/>
    </w:rPr>
  </w:style>
  <w:style w:type="character" w:customStyle="1" w:styleId="Heading2Char">
    <w:name w:val="Heading 2 Char"/>
    <w:link w:val="Heading2"/>
    <w:rsid w:val="00016489"/>
    <w:rPr>
      <w:rFonts w:ascii="Arial" w:eastAsia="Times New Roman" w:hAnsi="Arial"/>
      <w:b/>
      <w:smallCaps/>
      <w:sz w:val="24"/>
    </w:rPr>
  </w:style>
  <w:style w:type="character" w:customStyle="1" w:styleId="Heading3Char">
    <w:name w:val="Heading 3 Char"/>
    <w:link w:val="Heading3"/>
    <w:rsid w:val="00016489"/>
    <w:rPr>
      <w:rFonts w:ascii="Arial" w:eastAsia="Times New Roman" w:hAnsi="Arial"/>
      <w:b/>
      <w:sz w:val="24"/>
    </w:rPr>
  </w:style>
  <w:style w:type="character" w:customStyle="1" w:styleId="Heading4Char">
    <w:name w:val="Heading 4 Char"/>
    <w:link w:val="Heading4"/>
    <w:rsid w:val="00016489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rsid w:val="00016489"/>
    <w:rPr>
      <w:rFonts w:ascii="Arial" w:eastAsia="Times New Roman" w:hAnsi="Arial"/>
      <w:b/>
      <w:sz w:val="24"/>
    </w:rPr>
  </w:style>
  <w:style w:type="character" w:styleId="FootnoteReference">
    <w:name w:val="footnote reference"/>
    <w:semiHidden/>
    <w:rsid w:val="00016489"/>
    <w:rPr>
      <w:rFonts w:ascii="Arial" w:hAnsi="Arial"/>
      <w:position w:val="6"/>
      <w:sz w:val="16"/>
    </w:rPr>
  </w:style>
  <w:style w:type="numbering" w:customStyle="1" w:styleId="Decision">
    <w:name w:val="Decision"/>
    <w:rsid w:val="00016489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21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679C"/>
    <w:rPr>
      <w:rFonts w:ascii="Arial" w:hAnsi="Arial"/>
      <w:sz w:val="24"/>
      <w:szCs w:val="22"/>
    </w:rPr>
  </w:style>
  <w:style w:type="paragraph" w:styleId="Title">
    <w:name w:val="Title"/>
    <w:basedOn w:val="Normal"/>
    <w:link w:val="TitleChar"/>
    <w:qFormat/>
    <w:rsid w:val="00152A4A"/>
    <w:pPr>
      <w:jc w:val="center"/>
    </w:pPr>
    <w:rPr>
      <w:rFonts w:eastAsia="Times New Roman"/>
      <w:b/>
      <w:szCs w:val="20"/>
      <w:u w:val="single"/>
    </w:rPr>
  </w:style>
  <w:style w:type="character" w:customStyle="1" w:styleId="TitleChar">
    <w:name w:val="Title Char"/>
    <w:link w:val="Title"/>
    <w:rsid w:val="00152A4A"/>
    <w:rPr>
      <w:rFonts w:ascii="Arial" w:eastAsia="Times New Roman" w:hAnsi="Arial"/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126A02"/>
    <w:pPr>
      <w:ind w:left="720"/>
      <w:contextualSpacing/>
    </w:pPr>
    <w:rPr>
      <w:rFonts w:eastAsiaTheme="minorHAnsi" w:cstheme="minorBidi"/>
    </w:rPr>
  </w:style>
  <w:style w:type="paragraph" w:customStyle="1" w:styleId="Quick1">
    <w:name w:val="Quick 1."/>
    <w:basedOn w:val="Normal"/>
    <w:rsid w:val="00126A02"/>
    <w:pPr>
      <w:widowControl w:val="0"/>
      <w:numPr>
        <w:numId w:val="5"/>
      </w:numPr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36B0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798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normaltextrun">
    <w:name w:val="normaltextrun"/>
    <w:basedOn w:val="DefaultParagraphFont"/>
    <w:rsid w:val="006A798C"/>
  </w:style>
  <w:style w:type="character" w:customStyle="1" w:styleId="spellingerror">
    <w:name w:val="spellingerror"/>
    <w:basedOn w:val="DefaultParagraphFont"/>
    <w:rsid w:val="006A798C"/>
  </w:style>
  <w:style w:type="character" w:customStyle="1" w:styleId="eop">
    <w:name w:val="eop"/>
    <w:basedOn w:val="DefaultParagraphFont"/>
    <w:rsid w:val="006A7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NzBjOGIyNTEtMTlkNi00NzcwLWIzYWQtNDJiNjBmZWNjYWNl%40thread.v2/0?context=%7b%22Tid%22%3a%22118b7cfa-a3dd-48b9-b026-31ff69bb738b%22%2c%22Oid%22%3a%227b76f256-8082-43d7-9e39-e140c20fe073%22%7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50D960BD17A4C84C378FF478A2E91" ma:contentTypeVersion="2" ma:contentTypeDescription="Create a new document." ma:contentTypeScope="" ma:versionID="d36cbb0918f989ee8cf01a3077da76ed">
  <xsd:schema xmlns:xsd="http://www.w3.org/2001/XMLSchema" xmlns:xs="http://www.w3.org/2001/XMLSchema" xmlns:p="http://schemas.microsoft.com/office/2006/metadata/properties" xmlns:ns3="01d178fc-aace-4d06-8b61-57daa5c7bca1" targetNamespace="http://schemas.microsoft.com/office/2006/metadata/properties" ma:root="true" ma:fieldsID="05de3dd1af2d854918bb29602b9c45a2" ns3:_="">
    <xsd:import namespace="01d178fc-aace-4d06-8b61-57daa5c7bc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178fc-aace-4d06-8b61-57daa5c7b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998F5-6D16-4740-A8B3-26C85245B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d178fc-aace-4d06-8b61-57daa5c7b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B15E2-C1DC-472C-B62E-5473C2BAB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88983-69C9-4D2D-834B-2CDE7B5E1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551D49-7693-4205-8C39-B628F140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DEEP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Bergman</dc:creator>
  <cp:lastModifiedBy>Alexander, Zachary</cp:lastModifiedBy>
  <cp:revision>4</cp:revision>
  <cp:lastPrinted>2015-02-26T16:45:00Z</cp:lastPrinted>
  <dcterms:created xsi:type="dcterms:W3CDTF">2021-11-29T14:21:00Z</dcterms:created>
  <dcterms:modified xsi:type="dcterms:W3CDTF">2021-11-30T13:22:00Z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0x0101004A650D960BD17A4C84C378FF478A2E91</vt:lpwstr>
  </property>
</Properties>
</file>