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58" w:rsidRDefault="00B26E58"/>
    <w:p w:rsidR="00B26E58" w:rsidRDefault="00B26E58"/>
    <w:tbl>
      <w:tblPr>
        <w:tblStyle w:val="TableGrid"/>
        <w:tblW w:w="0" w:type="auto"/>
        <w:tblLayout w:type="fixed"/>
        <w:tblLook w:val="04A0"/>
      </w:tblPr>
      <w:tblGrid>
        <w:gridCol w:w="3528"/>
        <w:gridCol w:w="270"/>
        <w:gridCol w:w="7020"/>
      </w:tblGrid>
      <w:tr w:rsidR="00D664C5" w:rsidTr="00B26E58">
        <w:tc>
          <w:tcPr>
            <w:tcW w:w="3528" w:type="dxa"/>
          </w:tcPr>
          <w:p w:rsidR="00D664C5" w:rsidRPr="00D664C5" w:rsidRDefault="00D664C5">
            <w:pPr>
              <w:rPr>
                <w:b/>
              </w:rPr>
            </w:pPr>
            <w:r>
              <w:rPr>
                <w:b/>
              </w:rPr>
              <w:t xml:space="preserve">Information </w:t>
            </w:r>
            <w:r w:rsidR="001E3B2C">
              <w:rPr>
                <w:b/>
              </w:rPr>
              <w:t>Area</w:t>
            </w:r>
          </w:p>
        </w:tc>
        <w:tc>
          <w:tcPr>
            <w:tcW w:w="270" w:type="dxa"/>
          </w:tcPr>
          <w:p w:rsidR="00D664C5" w:rsidRPr="00D664C5" w:rsidRDefault="00D664C5">
            <w:pPr>
              <w:rPr>
                <w:b/>
              </w:rPr>
            </w:pPr>
          </w:p>
        </w:tc>
        <w:tc>
          <w:tcPr>
            <w:tcW w:w="7020" w:type="dxa"/>
          </w:tcPr>
          <w:p w:rsidR="00D664C5" w:rsidRPr="00B26E58" w:rsidRDefault="00B26E58">
            <w:pPr>
              <w:rPr>
                <w:b/>
              </w:rPr>
            </w:pPr>
            <w:r>
              <w:rPr>
                <w:b/>
              </w:rPr>
              <w:t>Potential Sources</w:t>
            </w:r>
          </w:p>
        </w:tc>
      </w:tr>
      <w:tr w:rsidR="00D664C5" w:rsidTr="00B26E58">
        <w:tc>
          <w:tcPr>
            <w:tcW w:w="3528" w:type="dxa"/>
          </w:tcPr>
          <w:p w:rsidR="00D664C5" w:rsidRDefault="00D664C5" w:rsidP="00B26E58">
            <w:r>
              <w:t>Measures of Financial Health-</w:t>
            </w:r>
            <w:r w:rsidR="00B26E58">
              <w:t>Fiscal Condition or Fitness</w:t>
            </w:r>
            <w:r w:rsidR="002B0C7E">
              <w:t>; efficiency</w:t>
            </w:r>
          </w:p>
        </w:tc>
        <w:tc>
          <w:tcPr>
            <w:tcW w:w="270" w:type="dxa"/>
          </w:tcPr>
          <w:p w:rsidR="00D664C5" w:rsidRDefault="00D664C5"/>
          <w:p w:rsidR="00FD699A" w:rsidRDefault="00FD699A"/>
          <w:p w:rsidR="00FD699A" w:rsidRDefault="00FD699A"/>
          <w:p w:rsidR="00FD699A" w:rsidRDefault="00FD699A"/>
          <w:p w:rsidR="00FD699A" w:rsidRDefault="00FD699A"/>
          <w:p w:rsidR="00FD699A" w:rsidRDefault="00FD699A"/>
          <w:p w:rsidR="00FD699A" w:rsidRDefault="00FD699A"/>
          <w:p w:rsidR="00FD699A" w:rsidRDefault="00FD699A"/>
          <w:p w:rsidR="00FD699A" w:rsidRDefault="00FD699A"/>
          <w:p w:rsidR="00FD699A" w:rsidRDefault="00FD699A"/>
        </w:tc>
        <w:tc>
          <w:tcPr>
            <w:tcW w:w="7020" w:type="dxa"/>
          </w:tcPr>
          <w:p w:rsidR="00571912" w:rsidRDefault="00571912" w:rsidP="00B26E58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State agencies receive a</w:t>
            </w:r>
            <w:r w:rsidR="00B26E58">
              <w:t>nnual audits</w:t>
            </w:r>
            <w:r>
              <w:t xml:space="preserve">, budget and </w:t>
            </w:r>
            <w:r w:rsidR="00B26E58">
              <w:t xml:space="preserve">financial </w:t>
            </w:r>
            <w:r>
              <w:t>reports;</w:t>
            </w:r>
            <w:r w:rsidR="00B26E58">
              <w:t xml:space="preserve"> not </w:t>
            </w:r>
            <w:r w:rsidR="0044018C">
              <w:t xml:space="preserve">generally </w:t>
            </w:r>
            <w:r w:rsidR="00B26E58">
              <w:t>aggregated</w:t>
            </w:r>
            <w:r>
              <w:t xml:space="preserve">, </w:t>
            </w:r>
            <w:r w:rsidR="0044018C">
              <w:t>except</w:t>
            </w:r>
            <w:r>
              <w:t xml:space="preserve">: </w:t>
            </w:r>
          </w:p>
          <w:p w:rsidR="00D664C5" w:rsidRDefault="00571912" w:rsidP="00571912">
            <w:pPr>
              <w:pStyle w:val="ListParagraph"/>
              <w:ind w:left="162"/>
            </w:pPr>
            <w:r>
              <w:t>--DDS tabulates cost reports for contracts over $100,000 since FY2005</w:t>
            </w:r>
          </w:p>
          <w:p w:rsidR="00571912" w:rsidRDefault="00571912" w:rsidP="00571912">
            <w:pPr>
              <w:pStyle w:val="ListParagraph"/>
              <w:ind w:left="342" w:hanging="180"/>
            </w:pPr>
            <w:r>
              <w:t>--DMHAS has Annual Financial Report (AFR) data base, which collects   revenue and expenditure information; in process of developing reports</w:t>
            </w:r>
          </w:p>
          <w:p w:rsidR="00571912" w:rsidRDefault="00571912" w:rsidP="00E40075">
            <w:pPr>
              <w:pStyle w:val="ListParagraph"/>
              <w:ind w:left="342" w:hanging="180"/>
            </w:pPr>
            <w:r>
              <w:t>--DCF has database of SSA audit reviews</w:t>
            </w:r>
          </w:p>
          <w:p w:rsidR="00571912" w:rsidRDefault="00571912" w:rsidP="00571912">
            <w:pPr>
              <w:pStyle w:val="ListParagraph"/>
              <w:ind w:left="342" w:hanging="180"/>
            </w:pPr>
          </w:p>
          <w:p w:rsidR="002B0C7E" w:rsidRDefault="00B26E58" w:rsidP="00B26E58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990’s</w:t>
            </w:r>
            <w:r w:rsidR="002B0C7E">
              <w:t>: generally not received by State agencies or aggregated</w:t>
            </w:r>
          </w:p>
          <w:p w:rsidR="00B26E58" w:rsidRPr="008C6E7B" w:rsidRDefault="003E31E5" w:rsidP="002B0C7E">
            <w:pPr>
              <w:pStyle w:val="ListParagraph"/>
              <w:ind w:left="162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rFonts w:cs="Arial"/>
                <w:b w:val="0"/>
              </w:rPr>
              <w:t xml:space="preserve"> (Note: Boston Foundation: </w:t>
            </w:r>
            <w:r>
              <w:rPr>
                <w:rStyle w:val="Strong"/>
                <w:rFonts w:cs="Arial"/>
                <w:b w:val="0"/>
                <w:i/>
              </w:rPr>
              <w:t>Purpose and Passion, Raising the Fiscal Fitness Bar for Massachusetts Non Profits</w:t>
            </w:r>
            <w:r>
              <w:rPr>
                <w:rStyle w:val="Strong"/>
                <w:rFonts w:cs="Arial"/>
                <w:b w:val="0"/>
              </w:rPr>
              <w:t xml:space="preserve"> uses 990 </w:t>
            </w:r>
            <w:r w:rsidR="00571912">
              <w:rPr>
                <w:rStyle w:val="Strong"/>
                <w:rFonts w:cs="Arial"/>
                <w:b w:val="0"/>
              </w:rPr>
              <w:t xml:space="preserve">data for </w:t>
            </w:r>
            <w:r>
              <w:rPr>
                <w:rStyle w:val="Strong"/>
                <w:rFonts w:cs="Arial"/>
                <w:b w:val="0"/>
              </w:rPr>
              <w:t>measures of liquidity, liabilities to assets</w:t>
            </w:r>
            <w:r w:rsidR="00571912">
              <w:rPr>
                <w:rStyle w:val="Strong"/>
                <w:rFonts w:cs="Arial"/>
                <w:b w:val="0"/>
              </w:rPr>
              <w:t>, surplus/deficits,</w:t>
            </w:r>
            <w:r w:rsidR="002B0C7E">
              <w:rPr>
                <w:rStyle w:val="Strong"/>
                <w:rFonts w:cs="Arial"/>
                <w:b w:val="0"/>
              </w:rPr>
              <w:t xml:space="preserve"> administrative cost ratios,</w:t>
            </w:r>
            <w:r w:rsidR="00571912">
              <w:rPr>
                <w:rStyle w:val="Strong"/>
                <w:rFonts w:cs="Arial"/>
                <w:b w:val="0"/>
              </w:rPr>
              <w:t xml:space="preserve"> etc)</w:t>
            </w:r>
          </w:p>
          <w:p w:rsidR="003E31E5" w:rsidRDefault="003E31E5" w:rsidP="002B0C7E"/>
        </w:tc>
      </w:tr>
      <w:tr w:rsidR="00D664C5" w:rsidTr="00B26E58">
        <w:tc>
          <w:tcPr>
            <w:tcW w:w="3528" w:type="dxa"/>
          </w:tcPr>
          <w:p w:rsidR="00D664C5" w:rsidRDefault="00D664C5" w:rsidP="00F509BA">
            <w:r>
              <w:t>Outcome Measures</w:t>
            </w:r>
            <w:r w:rsidR="00F509BA">
              <w:t xml:space="preserve">: </w:t>
            </w:r>
            <w:r>
              <w:t>reports, inspection reports, annual reports, studies etc</w:t>
            </w:r>
          </w:p>
        </w:tc>
        <w:tc>
          <w:tcPr>
            <w:tcW w:w="270" w:type="dxa"/>
          </w:tcPr>
          <w:p w:rsidR="00D664C5" w:rsidRDefault="00D664C5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</w:tc>
        <w:tc>
          <w:tcPr>
            <w:tcW w:w="7020" w:type="dxa"/>
          </w:tcPr>
          <w:p w:rsidR="00D664C5" w:rsidRDefault="00E40075" w:rsidP="00E40075">
            <w:pPr>
              <w:pStyle w:val="ListParagraph"/>
              <w:numPr>
                <w:ilvl w:val="0"/>
                <w:numId w:val="1"/>
              </w:numPr>
              <w:ind w:left="162" w:hanging="180"/>
            </w:pPr>
            <w:r>
              <w:t>State agencies receive outcome measure information related to contracts, but generally no</w:t>
            </w:r>
            <w:r w:rsidR="00635E2F">
              <w:t>t</w:t>
            </w:r>
            <w:r>
              <w:t xml:space="preserve"> aggregated, except: </w:t>
            </w:r>
          </w:p>
          <w:p w:rsidR="00E40075" w:rsidRDefault="00E40075" w:rsidP="00E40075">
            <w:pPr>
              <w:pStyle w:val="ListParagraph"/>
              <w:ind w:left="162"/>
            </w:pPr>
            <w:r>
              <w:t>--</w:t>
            </w:r>
            <w:r w:rsidR="00F509BA">
              <w:t>DDS has a number of quality and input measures on database(s)</w:t>
            </w:r>
          </w:p>
          <w:p w:rsidR="00F509BA" w:rsidRDefault="00F509BA" w:rsidP="00F509BA">
            <w:pPr>
              <w:pStyle w:val="ListParagraph"/>
              <w:ind w:left="342" w:hanging="180"/>
            </w:pPr>
            <w:r>
              <w:t>--DSS has some annual monitoring reports prepared by Program staff; Bureau of Rehabilitation Services (BRS) includes outcome data in annual reports.</w:t>
            </w:r>
          </w:p>
          <w:p w:rsidR="008C6E7B" w:rsidRDefault="00F509BA" w:rsidP="002B0C7E">
            <w:pPr>
              <w:pStyle w:val="ListParagraph"/>
              <w:ind w:left="342" w:hanging="180"/>
            </w:pPr>
            <w:r>
              <w:t>--DCF-listing of contracted services and outcomes in spreadsheet form is available</w:t>
            </w:r>
          </w:p>
        </w:tc>
      </w:tr>
      <w:tr w:rsidR="00D664C5" w:rsidTr="00B26E58">
        <w:tc>
          <w:tcPr>
            <w:tcW w:w="3528" w:type="dxa"/>
          </w:tcPr>
          <w:p w:rsidR="00D664C5" w:rsidRDefault="00890B2B">
            <w:r>
              <w:t>Cost Comparisons: Private and State-operated services</w:t>
            </w:r>
          </w:p>
        </w:tc>
        <w:tc>
          <w:tcPr>
            <w:tcW w:w="270" w:type="dxa"/>
          </w:tcPr>
          <w:p w:rsidR="00D664C5" w:rsidRDefault="00D664C5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  <w:p w:rsidR="00FD699A" w:rsidRDefault="00FD699A" w:rsidP="00D664C5"/>
        </w:tc>
        <w:tc>
          <w:tcPr>
            <w:tcW w:w="7020" w:type="dxa"/>
          </w:tcPr>
          <w:p w:rsidR="00F509BA" w:rsidRDefault="0044018C" w:rsidP="00F509BA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proofErr w:type="gramStart"/>
            <w:r>
              <w:t xml:space="preserve">A number </w:t>
            </w:r>
            <w:r w:rsidR="00F509BA">
              <w:t xml:space="preserve">of the health and human </w:t>
            </w:r>
            <w:r w:rsidR="008C6E7B">
              <w:t>services funded and provided through POS contracts are not performed in-house by agency staff</w:t>
            </w:r>
            <w:proofErr w:type="gramEnd"/>
            <w:r w:rsidR="008C6E7B">
              <w:t xml:space="preserve">.  </w:t>
            </w:r>
            <w:r w:rsidR="00613E8B">
              <w:t>For those provided by in-house and by contract, c</w:t>
            </w:r>
            <w:r>
              <w:t>omprehensive cost comparison analysis generally has not been undertaken (apples to apples re costs, services provided)</w:t>
            </w:r>
            <w:r w:rsidR="001D70BC">
              <w:t xml:space="preserve">. </w:t>
            </w:r>
            <w:r w:rsidR="008C6E7B">
              <w:t>State agencies have the following information for those provide</w:t>
            </w:r>
            <w:r w:rsidR="00E27123">
              <w:t>d both in-house and by contract:</w:t>
            </w:r>
          </w:p>
          <w:p w:rsidR="00D664C5" w:rsidRDefault="008C6E7B" w:rsidP="008C6E7B">
            <w:pPr>
              <w:pStyle w:val="ListParagraph"/>
              <w:ind w:left="342" w:hanging="180"/>
            </w:pPr>
            <w:r>
              <w:t>--DD</w:t>
            </w:r>
            <w:r w:rsidR="00F509BA">
              <w:t>S has compiled cost comparison reports from annual cost reports that compares expenses</w:t>
            </w:r>
          </w:p>
          <w:p w:rsidR="008C6E7B" w:rsidRDefault="008C6E7B" w:rsidP="008C6E7B">
            <w:pPr>
              <w:pStyle w:val="ListParagraph"/>
              <w:ind w:left="342" w:hanging="180"/>
            </w:pPr>
            <w:r>
              <w:t>--DCF</w:t>
            </w:r>
            <w:r w:rsidR="00890B2B">
              <w:t xml:space="preserve"> and other state agencies</w:t>
            </w:r>
            <w:r>
              <w:t xml:space="preserve"> has rates for in and</w:t>
            </w:r>
            <w:r w:rsidR="00890B2B">
              <w:t>/or</w:t>
            </w:r>
            <w:r>
              <w:t xml:space="preserve"> out-of-state residential</w:t>
            </w:r>
            <w:r w:rsidR="00890B2B">
              <w:t>/group home</w:t>
            </w:r>
            <w:r>
              <w:t xml:space="preserve"> providers</w:t>
            </w:r>
            <w:r w:rsidR="00890B2B">
              <w:t xml:space="preserve"> and other services</w:t>
            </w:r>
          </w:p>
          <w:p w:rsidR="00890B2B" w:rsidRDefault="00890B2B" w:rsidP="00890B2B"/>
          <w:p w:rsidR="00F509BA" w:rsidRDefault="00890B2B" w:rsidP="002B0C7E">
            <w:pPr>
              <w:pStyle w:val="ListParagraph"/>
              <w:numPr>
                <w:ilvl w:val="0"/>
                <w:numId w:val="1"/>
              </w:numPr>
              <w:ind w:left="162" w:hanging="162"/>
            </w:pPr>
            <w:r>
              <w:t>Other: State Comptroller rates for State-operated facilities</w:t>
            </w:r>
          </w:p>
          <w:p w:rsidR="002B0C7E" w:rsidRDefault="002B0C7E" w:rsidP="002B0C7E">
            <w:pPr>
              <w:pStyle w:val="ListParagraph"/>
              <w:ind w:left="162"/>
            </w:pPr>
          </w:p>
        </w:tc>
      </w:tr>
      <w:tr w:rsidR="00D664C5" w:rsidTr="00B26E58">
        <w:tc>
          <w:tcPr>
            <w:tcW w:w="3528" w:type="dxa"/>
          </w:tcPr>
          <w:p w:rsidR="00D664C5" w:rsidRDefault="00D664C5">
            <w:r>
              <w:t xml:space="preserve">Wage comparisons state </w:t>
            </w:r>
            <w:proofErr w:type="spellStart"/>
            <w:r>
              <w:t>vs</w:t>
            </w:r>
            <w:proofErr w:type="spellEnd"/>
            <w:r>
              <w:t xml:space="preserve"> private; private union, non-union</w:t>
            </w:r>
          </w:p>
        </w:tc>
        <w:tc>
          <w:tcPr>
            <w:tcW w:w="270" w:type="dxa"/>
          </w:tcPr>
          <w:p w:rsidR="00D664C5" w:rsidRDefault="00D664C5" w:rsidP="00D664C5"/>
        </w:tc>
        <w:tc>
          <w:tcPr>
            <w:tcW w:w="7020" w:type="dxa"/>
          </w:tcPr>
          <w:p w:rsidR="00D664C5" w:rsidRDefault="007511C9" w:rsidP="00E27123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ind w:left="162" w:hanging="162"/>
            </w:pPr>
            <w:r>
              <w:t xml:space="preserve">State and its agencies would have </w:t>
            </w:r>
            <w:r w:rsidR="00E27123">
              <w:t>State wage schedules and fringe benefit costs for particular</w:t>
            </w:r>
            <w:r w:rsidR="0042015E">
              <w:t xml:space="preserve"> positions</w:t>
            </w:r>
            <w:r w:rsidR="00E27123">
              <w:t>.  Budget information and reports</w:t>
            </w:r>
            <w:r w:rsidR="002B0C7E">
              <w:t xml:space="preserve"> </w:t>
            </w:r>
            <w:r w:rsidR="00F85D93">
              <w:t xml:space="preserve">that </w:t>
            </w:r>
            <w:r w:rsidR="002B0C7E">
              <w:t>agenc</w:t>
            </w:r>
            <w:r w:rsidR="00F85D93">
              <w:t xml:space="preserve">ies </w:t>
            </w:r>
            <w:r w:rsidR="0042015E">
              <w:t>receive</w:t>
            </w:r>
            <w:r w:rsidR="00E27123">
              <w:t xml:space="preserve"> include some s</w:t>
            </w:r>
            <w:r w:rsidR="00445549">
              <w:t>a</w:t>
            </w:r>
            <w:r w:rsidR="00E27123">
              <w:t xml:space="preserve">lary data, but not aggregated.  </w:t>
            </w:r>
          </w:p>
          <w:p w:rsidR="00843A8D" w:rsidRDefault="00843A8D" w:rsidP="00843A8D">
            <w:pPr>
              <w:pStyle w:val="ListParagraph"/>
              <w:tabs>
                <w:tab w:val="left" w:pos="162"/>
              </w:tabs>
              <w:ind w:left="162"/>
            </w:pPr>
          </w:p>
          <w:p w:rsidR="00843A8D" w:rsidRDefault="0042015E" w:rsidP="002B0C7E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</w:tabs>
              <w:ind w:left="162" w:hanging="162"/>
            </w:pPr>
            <w:r>
              <w:t>Other: CBIA/CAN surveys; State Commission on Enhancing</w:t>
            </w:r>
            <w:r w:rsidR="00CD4A03">
              <w:t xml:space="preserve"> Outcomes</w:t>
            </w:r>
          </w:p>
          <w:p w:rsidR="001D70BC" w:rsidRDefault="001D70BC" w:rsidP="001D70BC">
            <w:pPr>
              <w:pStyle w:val="ListParagraph"/>
            </w:pPr>
          </w:p>
          <w:p w:rsidR="001D70BC" w:rsidRDefault="001D70BC" w:rsidP="001D70BC">
            <w:pPr>
              <w:pStyle w:val="ListParagraph"/>
              <w:tabs>
                <w:tab w:val="left" w:pos="162"/>
              </w:tabs>
              <w:ind w:left="162"/>
            </w:pPr>
          </w:p>
        </w:tc>
      </w:tr>
      <w:tr w:rsidR="00D664C5" w:rsidTr="00B26E58">
        <w:tc>
          <w:tcPr>
            <w:tcW w:w="3528" w:type="dxa"/>
          </w:tcPr>
          <w:p w:rsidR="00D664C5" w:rsidRDefault="00D664C5">
            <w:r>
              <w:t>Pick 3 or 4 service areas to compare</w:t>
            </w:r>
          </w:p>
        </w:tc>
        <w:tc>
          <w:tcPr>
            <w:tcW w:w="270" w:type="dxa"/>
          </w:tcPr>
          <w:p w:rsidR="00D664C5" w:rsidRDefault="00D664C5"/>
        </w:tc>
        <w:tc>
          <w:tcPr>
            <w:tcW w:w="7020" w:type="dxa"/>
          </w:tcPr>
          <w:p w:rsidR="00D664C5" w:rsidRDefault="002B0C7E" w:rsidP="002B0C7E">
            <w:pPr>
              <w:pStyle w:val="ListParagraph"/>
              <w:numPr>
                <w:ilvl w:val="0"/>
                <w:numId w:val="2"/>
              </w:numPr>
              <w:ind w:left="162" w:hanging="180"/>
            </w:pPr>
            <w:r>
              <w:t xml:space="preserve">State agencies have identified residential facilities, group homes, </w:t>
            </w:r>
            <w:r w:rsidR="00F85D93">
              <w:t xml:space="preserve">day services, </w:t>
            </w:r>
            <w:r>
              <w:t xml:space="preserve">psychiatric clinics, </w:t>
            </w:r>
            <w:r w:rsidR="00F85D93">
              <w:t xml:space="preserve">and </w:t>
            </w:r>
            <w:r>
              <w:t>case management</w:t>
            </w:r>
            <w:r w:rsidR="00F85D93">
              <w:t xml:space="preserve"> as among the services which </w:t>
            </w:r>
            <w:proofErr w:type="gramStart"/>
            <w:r w:rsidR="00F85D93">
              <w:t>could be compared</w:t>
            </w:r>
            <w:proofErr w:type="gramEnd"/>
            <w:r w:rsidR="00F85D93">
              <w:t>.</w:t>
            </w:r>
          </w:p>
          <w:p w:rsidR="00F85D93" w:rsidRDefault="00F85D93" w:rsidP="00F85D93">
            <w:pPr>
              <w:pStyle w:val="ListParagraph"/>
              <w:ind w:left="162"/>
            </w:pPr>
          </w:p>
        </w:tc>
      </w:tr>
    </w:tbl>
    <w:p w:rsidR="00613E8B" w:rsidRDefault="00613E8B"/>
    <w:tbl>
      <w:tblPr>
        <w:tblStyle w:val="TableGrid"/>
        <w:tblW w:w="0" w:type="auto"/>
        <w:tblLayout w:type="fixed"/>
        <w:tblLook w:val="04A0"/>
      </w:tblPr>
      <w:tblGrid>
        <w:gridCol w:w="3528"/>
        <w:gridCol w:w="270"/>
        <w:gridCol w:w="7020"/>
      </w:tblGrid>
      <w:tr w:rsidR="00D664C5" w:rsidTr="00B26E58">
        <w:tc>
          <w:tcPr>
            <w:tcW w:w="3528" w:type="dxa"/>
          </w:tcPr>
          <w:p w:rsidR="00D664C5" w:rsidRDefault="00D664C5">
            <w:r>
              <w:t>200</w:t>
            </w:r>
            <w:r w:rsidR="00737CF5">
              <w:t>0</w:t>
            </w:r>
            <w:r>
              <w:t>-09</w:t>
            </w:r>
          </w:p>
          <w:p w:rsidR="00D664C5" w:rsidRDefault="00D664C5" w:rsidP="00E27123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>
              <w:t>Cost of Employee Health insurance</w:t>
            </w:r>
          </w:p>
          <w:p w:rsidR="00D664C5" w:rsidRDefault="00D664C5" w:rsidP="00E27123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>
              <w:t>Worker’s comp</w:t>
            </w:r>
          </w:p>
          <w:p w:rsidR="00D664C5" w:rsidRDefault="00D664C5" w:rsidP="00E27123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>
              <w:t>Property casualty</w:t>
            </w:r>
          </w:p>
          <w:p w:rsidR="00D664C5" w:rsidRDefault="00D664C5" w:rsidP="00E27123">
            <w:pPr>
              <w:pStyle w:val="ListParagraph"/>
              <w:numPr>
                <w:ilvl w:val="0"/>
                <w:numId w:val="1"/>
              </w:numPr>
              <w:ind w:left="180" w:hanging="180"/>
            </w:pPr>
            <w:r>
              <w:t>Utilities</w:t>
            </w:r>
          </w:p>
          <w:p w:rsidR="00D664C5" w:rsidRDefault="00D664C5" w:rsidP="001E4B53"/>
        </w:tc>
        <w:tc>
          <w:tcPr>
            <w:tcW w:w="270" w:type="dxa"/>
          </w:tcPr>
          <w:p w:rsidR="00D664C5" w:rsidRDefault="00D664C5" w:rsidP="00D664C5"/>
        </w:tc>
        <w:tc>
          <w:tcPr>
            <w:tcW w:w="7020" w:type="dxa"/>
          </w:tcPr>
          <w:p w:rsidR="0044018C" w:rsidRDefault="000D642F" w:rsidP="0044018C">
            <w:pPr>
              <w:pStyle w:val="ListParagraph"/>
              <w:numPr>
                <w:ilvl w:val="0"/>
                <w:numId w:val="4"/>
              </w:numPr>
              <w:ind w:left="162" w:hanging="162"/>
            </w:pPr>
            <w:r>
              <w:t xml:space="preserve">The budget and financial information receives from some of this information, in varying levels of detail, but it </w:t>
            </w:r>
            <w:proofErr w:type="gramStart"/>
            <w:r>
              <w:t>is generally not aggregated</w:t>
            </w:r>
            <w:proofErr w:type="gramEnd"/>
            <w:r>
              <w:t xml:space="preserve">.  DDS does have this type of information in its annual cost reporting program. </w:t>
            </w:r>
          </w:p>
          <w:p w:rsidR="000D642F" w:rsidRDefault="000D642F" w:rsidP="000D642F">
            <w:pPr>
              <w:pStyle w:val="ListParagraph"/>
              <w:ind w:left="162"/>
            </w:pPr>
          </w:p>
          <w:p w:rsidR="000D642F" w:rsidRDefault="000D642F" w:rsidP="000D642F">
            <w:pPr>
              <w:pStyle w:val="ListParagraph"/>
              <w:numPr>
                <w:ilvl w:val="0"/>
                <w:numId w:val="4"/>
              </w:numPr>
              <w:ind w:left="162" w:hanging="162"/>
            </w:pPr>
            <w:r>
              <w:t>Other:  OPM will look at other sources for Connecticut or Northeast data regarding cost increases in health insurance (Kaiser Family Foundation), utilities, worker’s comp and property casualty</w:t>
            </w:r>
          </w:p>
          <w:p w:rsidR="001D70BC" w:rsidRDefault="001D70BC" w:rsidP="001D70BC">
            <w:pPr>
              <w:pStyle w:val="ListParagraph"/>
            </w:pPr>
          </w:p>
          <w:p w:rsidR="001D70BC" w:rsidRDefault="001D70BC" w:rsidP="001D70BC">
            <w:pPr>
              <w:pStyle w:val="ListParagraph"/>
              <w:ind w:left="162"/>
            </w:pPr>
          </w:p>
        </w:tc>
      </w:tr>
      <w:tr w:rsidR="00D664C5" w:rsidTr="00B26E58">
        <w:tc>
          <w:tcPr>
            <w:tcW w:w="3528" w:type="dxa"/>
          </w:tcPr>
          <w:p w:rsidR="00D664C5" w:rsidRDefault="00737CF5" w:rsidP="001D70BC">
            <w:r>
              <w:t>Projection of cost</w:t>
            </w:r>
            <w:r w:rsidR="001D70BC">
              <w:t xml:space="preserve">s </w:t>
            </w:r>
            <w:r>
              <w:t>in community vs</w:t>
            </w:r>
            <w:r w:rsidR="00485A30">
              <w:t>.</w:t>
            </w:r>
            <w:r>
              <w:t xml:space="preserve"> institutions </w:t>
            </w:r>
          </w:p>
        </w:tc>
        <w:tc>
          <w:tcPr>
            <w:tcW w:w="270" w:type="dxa"/>
          </w:tcPr>
          <w:p w:rsidR="00D664C5" w:rsidRDefault="00D664C5" w:rsidP="00737CF5"/>
        </w:tc>
        <w:tc>
          <w:tcPr>
            <w:tcW w:w="7020" w:type="dxa"/>
          </w:tcPr>
          <w:p w:rsidR="00D664C5" w:rsidRDefault="000D642F" w:rsidP="000D642F">
            <w:pPr>
              <w:pStyle w:val="ListParagraph"/>
              <w:numPr>
                <w:ilvl w:val="0"/>
                <w:numId w:val="5"/>
              </w:numPr>
              <w:ind w:left="162" w:hanging="162"/>
            </w:pPr>
            <w:r>
              <w:t>DDS has cost comparison information on community programs and community settings.</w:t>
            </w:r>
          </w:p>
          <w:p w:rsidR="000D642F" w:rsidRDefault="00042B17" w:rsidP="000D642F">
            <w:pPr>
              <w:pStyle w:val="ListParagraph"/>
              <w:numPr>
                <w:ilvl w:val="0"/>
                <w:numId w:val="5"/>
              </w:numPr>
              <w:ind w:left="162" w:hanging="162"/>
            </w:pPr>
            <w:r>
              <w:t xml:space="preserve">DSS: Money Follows the Person; Long Term Care needs assessment done by </w:t>
            </w:r>
            <w:proofErr w:type="spellStart"/>
            <w:r>
              <w:t>UConn</w:t>
            </w:r>
            <w:proofErr w:type="spellEnd"/>
            <w:r>
              <w:t xml:space="preserve"> Center on Aging; Connecticut’s Long Term Care Plan</w:t>
            </w:r>
          </w:p>
          <w:p w:rsidR="00042B17" w:rsidRDefault="00042B17" w:rsidP="000D642F">
            <w:pPr>
              <w:pStyle w:val="ListParagraph"/>
              <w:numPr>
                <w:ilvl w:val="0"/>
                <w:numId w:val="5"/>
              </w:numPr>
              <w:ind w:left="162" w:hanging="162"/>
            </w:pPr>
            <w:r>
              <w:t>Institutional vs</w:t>
            </w:r>
            <w:r w:rsidR="00485A30">
              <w:t>.</w:t>
            </w:r>
            <w:r>
              <w:t xml:space="preserve"> community care issue for DCF, DMAS and other agencies; issue is availability of data </w:t>
            </w:r>
            <w:r w:rsidR="001D70BC">
              <w:t>in this regard.  Analysis complex.</w:t>
            </w:r>
          </w:p>
          <w:p w:rsidR="00042B17" w:rsidRDefault="00042B17" w:rsidP="00042B17">
            <w:pPr>
              <w:pStyle w:val="ListParagraph"/>
              <w:ind w:left="162"/>
            </w:pPr>
          </w:p>
        </w:tc>
      </w:tr>
      <w:tr w:rsidR="00D664C5" w:rsidTr="00B26E58">
        <w:tc>
          <w:tcPr>
            <w:tcW w:w="3528" w:type="dxa"/>
          </w:tcPr>
          <w:p w:rsidR="00D664C5" w:rsidRDefault="00737CF5" w:rsidP="001D70BC">
            <w:r>
              <w:t>Projected costs associated with Health and human services programs thru 12/31/14</w:t>
            </w:r>
          </w:p>
          <w:p w:rsidR="001D70BC" w:rsidRDefault="001D70BC" w:rsidP="001D70BC"/>
        </w:tc>
        <w:tc>
          <w:tcPr>
            <w:tcW w:w="270" w:type="dxa"/>
          </w:tcPr>
          <w:p w:rsidR="00D664C5" w:rsidRDefault="00D664C5"/>
        </w:tc>
        <w:tc>
          <w:tcPr>
            <w:tcW w:w="7020" w:type="dxa"/>
          </w:tcPr>
          <w:p w:rsidR="00D664C5" w:rsidRDefault="00194629" w:rsidP="00194629">
            <w:r>
              <w:t>DDS, DSS-BRS indica</w:t>
            </w:r>
            <w:r w:rsidR="0044301A">
              <w:t>te that they have historical co</w:t>
            </w:r>
            <w:r>
              <w:t>st information that could be reviewed</w:t>
            </w:r>
          </w:p>
        </w:tc>
      </w:tr>
      <w:tr w:rsidR="00D664C5" w:rsidTr="00B26E58">
        <w:tc>
          <w:tcPr>
            <w:tcW w:w="3528" w:type="dxa"/>
          </w:tcPr>
          <w:p w:rsidR="00D664C5" w:rsidRDefault="00737CF5" w:rsidP="00610314">
            <w:r>
              <w:t>Sources of revenues for health and human services programs</w:t>
            </w:r>
          </w:p>
          <w:p w:rsidR="001D70BC" w:rsidRDefault="001D70BC" w:rsidP="00610314"/>
        </w:tc>
        <w:tc>
          <w:tcPr>
            <w:tcW w:w="270" w:type="dxa"/>
          </w:tcPr>
          <w:p w:rsidR="00D664C5" w:rsidRDefault="00D664C5" w:rsidP="00737CF5"/>
        </w:tc>
        <w:tc>
          <w:tcPr>
            <w:tcW w:w="7020" w:type="dxa"/>
          </w:tcPr>
          <w:p w:rsidR="00D664C5" w:rsidRDefault="00610314" w:rsidP="00610314">
            <w:r>
              <w:t>State agencies and OPM have information re funding sources; would need to define information needs.</w:t>
            </w:r>
          </w:p>
        </w:tc>
      </w:tr>
    </w:tbl>
    <w:p w:rsidR="00D664C5" w:rsidRDefault="00D664C5"/>
    <w:p w:rsidR="0044301A" w:rsidRDefault="0044301A"/>
    <w:p w:rsidR="0044301A" w:rsidRDefault="0044301A"/>
    <w:p w:rsidR="0044301A" w:rsidRDefault="0044301A"/>
    <w:p w:rsidR="0044301A" w:rsidRDefault="0044301A"/>
    <w:p w:rsidR="0044301A" w:rsidRDefault="0044301A"/>
    <w:p w:rsidR="0044301A" w:rsidRDefault="0044301A"/>
    <w:p w:rsidR="0044301A" w:rsidRDefault="0044301A"/>
    <w:p w:rsidR="0044301A" w:rsidRDefault="0044301A"/>
    <w:p w:rsidR="0044301A" w:rsidRDefault="0044301A"/>
    <w:p w:rsidR="0044301A" w:rsidRDefault="0044301A"/>
    <w:p w:rsidR="0044301A" w:rsidRDefault="0044301A"/>
    <w:p w:rsidR="0044301A" w:rsidRDefault="0044301A" w:rsidP="0044301A">
      <w:pPr>
        <w:jc w:val="center"/>
      </w:pPr>
      <w:r>
        <w:t>-2-</w:t>
      </w:r>
    </w:p>
    <w:sectPr w:rsidR="0044301A" w:rsidSect="00737CF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73" w:rsidRDefault="00664473" w:rsidP="0044301A">
      <w:pPr>
        <w:spacing w:after="0" w:line="240" w:lineRule="auto"/>
      </w:pPr>
      <w:r>
        <w:separator/>
      </w:r>
    </w:p>
  </w:endnote>
  <w:endnote w:type="continuationSeparator" w:id="0">
    <w:p w:rsidR="00664473" w:rsidRDefault="00664473" w:rsidP="0044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73" w:rsidRDefault="00664473" w:rsidP="0044301A">
      <w:pPr>
        <w:spacing w:after="0" w:line="240" w:lineRule="auto"/>
      </w:pPr>
      <w:r>
        <w:separator/>
      </w:r>
    </w:p>
  </w:footnote>
  <w:footnote w:type="continuationSeparator" w:id="0">
    <w:p w:rsidR="00664473" w:rsidRDefault="00664473" w:rsidP="00443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01A" w:rsidRDefault="0044301A" w:rsidP="0044301A">
    <w:pPr>
      <w:pStyle w:val="Header"/>
      <w:jc w:val="center"/>
    </w:pPr>
    <w:r>
      <w:t xml:space="preserve">Preliminary Review of State Agency </w:t>
    </w:r>
    <w:r w:rsidR="00B633DF">
      <w:t xml:space="preserve">Data </w:t>
    </w:r>
  </w:p>
  <w:p w:rsidR="0044301A" w:rsidRDefault="004430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68C"/>
    <w:multiLevelType w:val="hybridMultilevel"/>
    <w:tmpl w:val="7FBA751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52FC65C1"/>
    <w:multiLevelType w:val="hybridMultilevel"/>
    <w:tmpl w:val="DC98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712B5"/>
    <w:multiLevelType w:val="hybridMultilevel"/>
    <w:tmpl w:val="D1EE0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10C5E"/>
    <w:multiLevelType w:val="hybridMultilevel"/>
    <w:tmpl w:val="3718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834C0"/>
    <w:multiLevelType w:val="hybridMultilevel"/>
    <w:tmpl w:val="1364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64C5"/>
    <w:rsid w:val="0003352F"/>
    <w:rsid w:val="00042B17"/>
    <w:rsid w:val="0008274F"/>
    <w:rsid w:val="000D642F"/>
    <w:rsid w:val="00194629"/>
    <w:rsid w:val="001D70BC"/>
    <w:rsid w:val="001E3B2C"/>
    <w:rsid w:val="001E4B53"/>
    <w:rsid w:val="002B0C7E"/>
    <w:rsid w:val="002B47C5"/>
    <w:rsid w:val="003262E8"/>
    <w:rsid w:val="003E31E5"/>
    <w:rsid w:val="0042015E"/>
    <w:rsid w:val="0044018C"/>
    <w:rsid w:val="0044301A"/>
    <w:rsid w:val="00445549"/>
    <w:rsid w:val="004615C9"/>
    <w:rsid w:val="00485A30"/>
    <w:rsid w:val="00571912"/>
    <w:rsid w:val="00610314"/>
    <w:rsid w:val="00613E8B"/>
    <w:rsid w:val="00635E2F"/>
    <w:rsid w:val="00664473"/>
    <w:rsid w:val="00737CF5"/>
    <w:rsid w:val="007511C9"/>
    <w:rsid w:val="00843A8D"/>
    <w:rsid w:val="00890B2B"/>
    <w:rsid w:val="008C6E7B"/>
    <w:rsid w:val="00B26E58"/>
    <w:rsid w:val="00B633DF"/>
    <w:rsid w:val="00CD4A03"/>
    <w:rsid w:val="00D664C5"/>
    <w:rsid w:val="00E27123"/>
    <w:rsid w:val="00E40075"/>
    <w:rsid w:val="00E75B0B"/>
    <w:rsid w:val="00F509BA"/>
    <w:rsid w:val="00F85D93"/>
    <w:rsid w:val="00FD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E58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3E31E5"/>
    <w:rPr>
      <w:i w:val="0"/>
      <w:iCs w:val="0"/>
      <w:color w:val="388222"/>
    </w:rPr>
  </w:style>
  <w:style w:type="character" w:styleId="Strong">
    <w:name w:val="Strong"/>
    <w:basedOn w:val="DefaultParagraphFont"/>
    <w:uiPriority w:val="22"/>
    <w:qFormat/>
    <w:rsid w:val="003E31E5"/>
    <w:rPr>
      <w:b/>
      <w:bCs/>
    </w:rPr>
  </w:style>
  <w:style w:type="character" w:styleId="Hyperlink">
    <w:name w:val="Hyperlink"/>
    <w:basedOn w:val="DefaultParagraphFont"/>
    <w:uiPriority w:val="99"/>
    <w:unhideWhenUsed/>
    <w:rsid w:val="003E31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1A"/>
  </w:style>
  <w:style w:type="paragraph" w:styleId="Footer">
    <w:name w:val="footer"/>
    <w:basedOn w:val="Normal"/>
    <w:link w:val="FooterChar"/>
    <w:uiPriority w:val="99"/>
    <w:semiHidden/>
    <w:unhideWhenUsed/>
    <w:rsid w:val="00443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01A"/>
  </w:style>
  <w:style w:type="paragraph" w:styleId="BalloonText">
    <w:name w:val="Balloon Text"/>
    <w:basedOn w:val="Normal"/>
    <w:link w:val="BalloonTextChar"/>
    <w:uiPriority w:val="99"/>
    <w:semiHidden/>
    <w:unhideWhenUsed/>
    <w:rsid w:val="0044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Connecticut-Office of Policy &amp; Management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Dakers</dc:creator>
  <cp:keywords/>
  <dc:description/>
  <cp:lastModifiedBy>Susan Simmat</cp:lastModifiedBy>
  <cp:revision>2</cp:revision>
  <cp:lastPrinted>2010-09-20T18:05:00Z</cp:lastPrinted>
  <dcterms:created xsi:type="dcterms:W3CDTF">2010-09-23T19:21:00Z</dcterms:created>
  <dcterms:modified xsi:type="dcterms:W3CDTF">2010-09-23T19:21:00Z</dcterms:modified>
</cp:coreProperties>
</file>