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F1" w:rsidRPr="00E51FB0" w:rsidRDefault="00623AF1">
      <w:pPr>
        <w:rPr>
          <w:rFonts w:ascii="Calibri" w:hAnsi="Calibri" w:cs="Arial"/>
          <w:b/>
          <w:sz w:val="24"/>
          <w:szCs w:val="24"/>
        </w:rPr>
      </w:pPr>
      <w:r w:rsidRPr="000B6F5F">
        <w:rPr>
          <w:rFonts w:ascii="Arial" w:hAnsi="Arial" w:cs="Arial"/>
          <w:sz w:val="22"/>
        </w:rPr>
        <w:t xml:space="preserve"> </w:t>
      </w:r>
      <w:r w:rsidR="00130840" w:rsidRPr="000B6F5F">
        <w:rPr>
          <w:rFonts w:ascii="Arial" w:hAnsi="Arial" w:cs="Arial"/>
          <w:sz w:val="22"/>
        </w:rPr>
        <w:tab/>
      </w:r>
      <w:r w:rsidR="00130840" w:rsidRPr="000B6F5F">
        <w:rPr>
          <w:rFonts w:ascii="Arial" w:hAnsi="Arial" w:cs="Arial"/>
          <w:sz w:val="22"/>
        </w:rPr>
        <w:tab/>
      </w:r>
      <w:r w:rsidR="00130840" w:rsidRPr="000B6F5F">
        <w:rPr>
          <w:rFonts w:ascii="Arial" w:hAnsi="Arial" w:cs="Arial"/>
          <w:sz w:val="22"/>
        </w:rPr>
        <w:tab/>
      </w:r>
      <w:r w:rsidR="00130840" w:rsidRPr="000B6F5F">
        <w:rPr>
          <w:rFonts w:ascii="Arial" w:hAnsi="Arial" w:cs="Arial"/>
          <w:sz w:val="22"/>
        </w:rPr>
        <w:tab/>
      </w:r>
      <w:r w:rsidR="00130840" w:rsidRPr="000B6F5F">
        <w:rPr>
          <w:rFonts w:ascii="Arial" w:hAnsi="Arial" w:cs="Arial"/>
          <w:sz w:val="22"/>
        </w:rPr>
        <w:tab/>
      </w:r>
      <w:r w:rsidR="00130840" w:rsidRPr="00E51FB0">
        <w:rPr>
          <w:rFonts w:ascii="Calibri" w:hAnsi="Calibri" w:cs="Arial"/>
          <w:b/>
          <w:sz w:val="24"/>
          <w:szCs w:val="24"/>
        </w:rPr>
        <w:t>POLICIES AND PROCEDURES</w:t>
      </w:r>
    </w:p>
    <w:p w:rsidR="00623AF1" w:rsidRPr="00E51FB0" w:rsidRDefault="00FB42D8" w:rsidP="00130840">
      <w:pPr>
        <w:ind w:left="5040" w:hanging="5040"/>
        <w:rPr>
          <w:rFonts w:ascii="Calibri" w:hAnsi="Calibri" w:cs="Arial"/>
          <w:b/>
          <w:i/>
          <w:sz w:val="24"/>
          <w:szCs w:val="24"/>
        </w:rPr>
      </w:pPr>
      <w:r>
        <w:rPr>
          <w:rFonts w:ascii="Calibri" w:hAnsi="Calibri" w:cs="Arial"/>
          <w:noProof/>
          <w:sz w:val="22"/>
          <w:lang w:eastAsia="zh-TW"/>
        </w:rPr>
        <w:pict>
          <v:shapetype id="_x0000_t202" coordsize="21600,21600" o:spt="202" path="m,l,21600r21600,l21600,xe">
            <v:stroke joinstyle="miter"/>
            <v:path gradientshapeok="t" o:connecttype="rect"/>
          </v:shapetype>
          <v:shape id="_x0000_s1031" type="#_x0000_t202" style="position:absolute;left:0;text-align:left;margin-left:25.8pt;margin-top:1.9pt;width:121.2pt;height:103.2pt;z-index:251657728;mso-width-relative:margin;mso-height-relative:margin">
            <v:textbox style="mso-next-textbox:#_x0000_s1031">
              <w:txbxContent>
                <w:p w:rsidR="00D81C1A" w:rsidRPr="00D81C1A" w:rsidRDefault="00D81C1A" w:rsidP="00170BF7">
                  <w:pPr>
                    <w:jc w:val="center"/>
                    <w:rPr>
                      <w:rFonts w:ascii="Calibri" w:hAnsi="Calibri" w:cs="Calibri"/>
                      <w:sz w:val="28"/>
                      <w:szCs w:val="28"/>
                    </w:rPr>
                  </w:pPr>
                </w:p>
                <w:p w:rsidR="00170BF7" w:rsidRPr="00170BF7" w:rsidRDefault="00170BF7" w:rsidP="00170BF7">
                  <w:pPr>
                    <w:jc w:val="center"/>
                    <w:rPr>
                      <w:rFonts w:ascii="Calibri" w:hAnsi="Calibri" w:cs="Calibri"/>
                      <w:sz w:val="56"/>
                      <w:szCs w:val="56"/>
                    </w:rPr>
                  </w:pPr>
                  <w:r>
                    <w:rPr>
                      <w:rFonts w:ascii="Calibri" w:hAnsi="Calibri" w:cs="Calibri"/>
                      <w:sz w:val="56"/>
                      <w:szCs w:val="56"/>
                    </w:rPr>
                    <w:t>Insert</w:t>
                  </w:r>
                  <w:r>
                    <w:rPr>
                      <w:rFonts w:ascii="Calibri" w:hAnsi="Calibri" w:cs="Calibri"/>
                      <w:sz w:val="56"/>
                      <w:szCs w:val="56"/>
                    </w:rPr>
                    <w:br/>
                    <w:t xml:space="preserve">Logo </w:t>
                  </w:r>
                  <w:r w:rsidRPr="00170BF7">
                    <w:rPr>
                      <w:rFonts w:ascii="Calibri" w:hAnsi="Calibri" w:cs="Calibri"/>
                      <w:sz w:val="56"/>
                      <w:szCs w:val="56"/>
                    </w:rPr>
                    <w:t xml:space="preserve"> </w:t>
                  </w:r>
                </w:p>
              </w:txbxContent>
            </v:textbox>
          </v:shape>
        </w:pict>
      </w:r>
      <w:r w:rsidR="00130840" w:rsidRPr="00E51FB0">
        <w:rPr>
          <w:rFonts w:ascii="Calibri" w:hAnsi="Calibri" w:cs="Arial"/>
          <w:sz w:val="22"/>
        </w:rPr>
        <w:tab/>
      </w:r>
      <w:r w:rsidR="00130840" w:rsidRPr="00E51FB0">
        <w:rPr>
          <w:rFonts w:ascii="Calibri" w:hAnsi="Calibri" w:cs="Arial"/>
          <w:sz w:val="22"/>
        </w:rPr>
        <w:tab/>
      </w:r>
      <w:r w:rsidR="00130840" w:rsidRPr="00E51FB0">
        <w:rPr>
          <w:rFonts w:ascii="Calibri" w:hAnsi="Calibri" w:cs="Arial"/>
          <w:sz w:val="22"/>
        </w:rPr>
        <w:tab/>
      </w:r>
      <w:r w:rsidR="00130840" w:rsidRPr="00E51FB0">
        <w:rPr>
          <w:rFonts w:ascii="Calibri" w:hAnsi="Calibri" w:cs="Arial"/>
          <w:sz w:val="22"/>
        </w:rPr>
        <w:tab/>
      </w:r>
      <w:r w:rsidR="00130840" w:rsidRPr="00E51FB0">
        <w:rPr>
          <w:rFonts w:ascii="Calibri" w:hAnsi="Calibri" w:cs="Arial"/>
          <w:sz w:val="22"/>
        </w:rPr>
        <w:tab/>
      </w:r>
      <w:r w:rsidR="00170BF7" w:rsidRPr="00E51FB0">
        <w:rPr>
          <w:rFonts w:ascii="Calibri" w:hAnsi="Calibri" w:cs="Arial"/>
          <w:b/>
          <w:i/>
          <w:sz w:val="24"/>
          <w:szCs w:val="24"/>
        </w:rPr>
        <w:t>DEPARTMENT</w:t>
      </w:r>
      <w:r w:rsidR="00D81C1A" w:rsidRPr="00E51FB0">
        <w:rPr>
          <w:rFonts w:ascii="Calibri" w:hAnsi="Calibri" w:cs="Arial"/>
          <w:b/>
          <w:i/>
          <w:sz w:val="24"/>
          <w:szCs w:val="24"/>
        </w:rPr>
        <w:t>:</w:t>
      </w:r>
    </w:p>
    <w:p w:rsidR="00701918" w:rsidRPr="000B6F5F" w:rsidRDefault="00701918" w:rsidP="00130840">
      <w:pPr>
        <w:ind w:left="5040" w:hanging="5040"/>
        <w:rPr>
          <w:rFonts w:ascii="Arial" w:hAnsi="Arial" w:cs="Arial"/>
          <w:b/>
          <w:i/>
          <w:sz w:val="22"/>
        </w:rPr>
      </w:pPr>
    </w:p>
    <w:tbl>
      <w:tblPr>
        <w:tblW w:w="6480" w:type="dxa"/>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4770"/>
      </w:tblGrid>
      <w:tr w:rsidR="00623AF1" w:rsidRPr="00E51FB0">
        <w:trPr>
          <w:trHeight w:val="460"/>
        </w:trPr>
        <w:tc>
          <w:tcPr>
            <w:tcW w:w="1710" w:type="dxa"/>
            <w:tcBorders>
              <w:right w:val="nil"/>
            </w:tcBorders>
            <w:vAlign w:val="center"/>
          </w:tcPr>
          <w:p w:rsidR="00623AF1" w:rsidRPr="00E51FB0" w:rsidRDefault="00623AF1" w:rsidP="009263EF">
            <w:pPr>
              <w:ind w:right="11"/>
              <w:rPr>
                <w:rFonts w:ascii="Calibri" w:hAnsi="Calibri" w:cs="Arial"/>
                <w:sz w:val="24"/>
                <w:szCs w:val="24"/>
              </w:rPr>
            </w:pPr>
            <w:r w:rsidRPr="00E51FB0">
              <w:rPr>
                <w:rFonts w:ascii="Calibri" w:hAnsi="Calibri" w:cs="Arial"/>
                <w:sz w:val="24"/>
                <w:szCs w:val="24"/>
              </w:rPr>
              <w:t>Title:</w:t>
            </w:r>
            <w:r w:rsidR="00130840" w:rsidRPr="00E51FB0">
              <w:rPr>
                <w:rFonts w:ascii="Calibri" w:hAnsi="Calibri" w:cs="Arial"/>
                <w:sz w:val="24"/>
                <w:szCs w:val="24"/>
              </w:rPr>
              <w:t xml:space="preserve"> </w:t>
            </w:r>
          </w:p>
        </w:tc>
        <w:tc>
          <w:tcPr>
            <w:tcW w:w="4770" w:type="dxa"/>
            <w:tcBorders>
              <w:left w:val="nil"/>
            </w:tcBorders>
            <w:vAlign w:val="center"/>
          </w:tcPr>
          <w:p w:rsidR="00623AF1" w:rsidRPr="00E51FB0" w:rsidRDefault="00D81C1A" w:rsidP="00130840">
            <w:pPr>
              <w:ind w:right="11"/>
              <w:rPr>
                <w:rFonts w:ascii="Calibri" w:hAnsi="Calibri" w:cs="Arial"/>
                <w:b/>
                <w:sz w:val="24"/>
                <w:szCs w:val="24"/>
                <w:highlight w:val="yellow"/>
              </w:rPr>
            </w:pPr>
            <w:r w:rsidRPr="00E51FB0">
              <w:rPr>
                <w:rFonts w:ascii="Calibri" w:hAnsi="Calibri" w:cs="Arial"/>
                <w:b/>
                <w:sz w:val="24"/>
                <w:szCs w:val="24"/>
              </w:rPr>
              <w:t>Self-Blood Pressure Monitoring (SBPM)</w:t>
            </w:r>
          </w:p>
        </w:tc>
      </w:tr>
      <w:tr w:rsidR="00623AF1" w:rsidRPr="00E51FB0">
        <w:trPr>
          <w:trHeight w:val="460"/>
        </w:trPr>
        <w:tc>
          <w:tcPr>
            <w:tcW w:w="1710" w:type="dxa"/>
            <w:tcBorders>
              <w:right w:val="nil"/>
            </w:tcBorders>
            <w:vAlign w:val="center"/>
          </w:tcPr>
          <w:p w:rsidR="00623AF1" w:rsidRPr="00E51FB0" w:rsidRDefault="00623AF1" w:rsidP="009263EF">
            <w:pPr>
              <w:ind w:right="11"/>
              <w:rPr>
                <w:rFonts w:ascii="Calibri" w:hAnsi="Calibri" w:cs="Arial"/>
                <w:sz w:val="24"/>
                <w:szCs w:val="24"/>
              </w:rPr>
            </w:pPr>
            <w:r w:rsidRPr="00E51FB0">
              <w:rPr>
                <w:rFonts w:ascii="Calibri" w:hAnsi="Calibri" w:cs="Arial"/>
                <w:sz w:val="24"/>
                <w:szCs w:val="24"/>
              </w:rPr>
              <w:t>Effective Date:</w:t>
            </w:r>
          </w:p>
        </w:tc>
        <w:tc>
          <w:tcPr>
            <w:tcW w:w="4770" w:type="dxa"/>
            <w:tcBorders>
              <w:left w:val="nil"/>
            </w:tcBorders>
            <w:vAlign w:val="center"/>
          </w:tcPr>
          <w:p w:rsidR="00623AF1" w:rsidRPr="00E51FB0" w:rsidRDefault="00623AF1" w:rsidP="00B95FD5">
            <w:pPr>
              <w:ind w:right="11"/>
              <w:rPr>
                <w:rFonts w:ascii="Calibri" w:hAnsi="Calibri" w:cs="Arial"/>
                <w:b/>
                <w:sz w:val="24"/>
                <w:szCs w:val="24"/>
              </w:rPr>
            </w:pPr>
          </w:p>
        </w:tc>
      </w:tr>
      <w:tr w:rsidR="00623AF1" w:rsidRPr="00E51FB0">
        <w:trPr>
          <w:trHeight w:val="460"/>
        </w:trPr>
        <w:tc>
          <w:tcPr>
            <w:tcW w:w="1710" w:type="dxa"/>
            <w:tcBorders>
              <w:right w:val="nil"/>
            </w:tcBorders>
            <w:vAlign w:val="center"/>
          </w:tcPr>
          <w:p w:rsidR="00623AF1" w:rsidRPr="00E51FB0" w:rsidRDefault="000F0D2A" w:rsidP="009263EF">
            <w:pPr>
              <w:ind w:right="11"/>
              <w:rPr>
                <w:rFonts w:ascii="Calibri" w:hAnsi="Calibri" w:cs="Arial"/>
                <w:sz w:val="24"/>
                <w:szCs w:val="24"/>
              </w:rPr>
            </w:pPr>
            <w:r w:rsidRPr="00E51FB0">
              <w:rPr>
                <w:rFonts w:ascii="Calibri" w:hAnsi="Calibri" w:cs="Arial"/>
                <w:sz w:val="24"/>
                <w:szCs w:val="24"/>
              </w:rPr>
              <w:t>Policy No.</w:t>
            </w:r>
          </w:p>
        </w:tc>
        <w:tc>
          <w:tcPr>
            <w:tcW w:w="4770" w:type="dxa"/>
            <w:tcBorders>
              <w:left w:val="nil"/>
            </w:tcBorders>
            <w:vAlign w:val="center"/>
          </w:tcPr>
          <w:p w:rsidR="00623AF1" w:rsidRPr="00E51FB0" w:rsidRDefault="00623AF1" w:rsidP="00B95FD5">
            <w:pPr>
              <w:ind w:right="11"/>
              <w:rPr>
                <w:rFonts w:ascii="Calibri" w:hAnsi="Calibri" w:cs="Arial"/>
                <w:b/>
                <w:sz w:val="24"/>
                <w:szCs w:val="24"/>
              </w:rPr>
            </w:pPr>
          </w:p>
        </w:tc>
      </w:tr>
      <w:tr w:rsidR="00623AF1" w:rsidRPr="00E51FB0">
        <w:trPr>
          <w:trHeight w:val="460"/>
        </w:trPr>
        <w:tc>
          <w:tcPr>
            <w:tcW w:w="1710" w:type="dxa"/>
            <w:tcBorders>
              <w:right w:val="nil"/>
            </w:tcBorders>
            <w:vAlign w:val="center"/>
          </w:tcPr>
          <w:p w:rsidR="00623AF1" w:rsidRPr="00E51FB0" w:rsidRDefault="00623AF1" w:rsidP="009263EF">
            <w:pPr>
              <w:ind w:right="11"/>
              <w:rPr>
                <w:rFonts w:ascii="Calibri" w:hAnsi="Calibri" w:cs="Arial"/>
                <w:sz w:val="24"/>
                <w:szCs w:val="24"/>
              </w:rPr>
            </w:pPr>
            <w:r w:rsidRPr="00E51FB0">
              <w:rPr>
                <w:rFonts w:ascii="Calibri" w:hAnsi="Calibri" w:cs="Arial"/>
                <w:sz w:val="24"/>
                <w:szCs w:val="24"/>
              </w:rPr>
              <w:t>Copies to:</w:t>
            </w:r>
          </w:p>
        </w:tc>
        <w:tc>
          <w:tcPr>
            <w:tcW w:w="4770" w:type="dxa"/>
            <w:tcBorders>
              <w:left w:val="nil"/>
            </w:tcBorders>
            <w:vAlign w:val="center"/>
          </w:tcPr>
          <w:p w:rsidR="00623AF1" w:rsidRPr="00E51FB0" w:rsidRDefault="00623AF1" w:rsidP="00B95FD5">
            <w:pPr>
              <w:ind w:right="11"/>
              <w:rPr>
                <w:rFonts w:ascii="Calibri" w:hAnsi="Calibri" w:cs="Arial"/>
                <w:sz w:val="24"/>
                <w:szCs w:val="24"/>
              </w:rPr>
            </w:pPr>
          </w:p>
        </w:tc>
      </w:tr>
    </w:tbl>
    <w:p w:rsidR="00130840" w:rsidRPr="000B6F5F" w:rsidRDefault="00130840" w:rsidP="00130840">
      <w:pPr>
        <w:jc w:val="cente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3690"/>
        <w:gridCol w:w="3360"/>
      </w:tblGrid>
      <w:tr w:rsidR="001428C9" w:rsidRPr="00E51FB0">
        <w:trPr>
          <w:trHeight w:val="500"/>
        </w:trPr>
        <w:tc>
          <w:tcPr>
            <w:tcW w:w="3060" w:type="dxa"/>
            <w:tcBorders>
              <w:top w:val="single" w:sz="4" w:space="0" w:color="auto"/>
              <w:left w:val="single" w:sz="4" w:space="0" w:color="auto"/>
              <w:bottom w:val="single" w:sz="4" w:space="0" w:color="auto"/>
              <w:right w:val="nil"/>
            </w:tcBorders>
            <w:vAlign w:val="center"/>
          </w:tcPr>
          <w:p w:rsidR="001428C9" w:rsidRPr="00E51FB0" w:rsidRDefault="00170BF7" w:rsidP="005D14AD">
            <w:pPr>
              <w:jc w:val="center"/>
              <w:rPr>
                <w:rFonts w:ascii="Calibri" w:hAnsi="Calibri" w:cs="Arial"/>
                <w:b/>
                <w:sz w:val="22"/>
                <w:szCs w:val="22"/>
              </w:rPr>
            </w:pPr>
            <w:r w:rsidRPr="00E51FB0">
              <w:rPr>
                <w:rFonts w:ascii="Calibri" w:hAnsi="Calibri" w:cs="Arial"/>
                <w:b/>
                <w:sz w:val="22"/>
                <w:szCs w:val="22"/>
              </w:rPr>
              <w:t>Name</w:t>
            </w:r>
          </w:p>
          <w:p w:rsidR="001428C9" w:rsidRPr="00E51FB0" w:rsidRDefault="001428C9" w:rsidP="005D14AD">
            <w:pPr>
              <w:snapToGrid w:val="0"/>
              <w:jc w:val="center"/>
              <w:rPr>
                <w:rFonts w:ascii="Calibri" w:hAnsi="Calibri" w:cs="Arial"/>
                <w:sz w:val="22"/>
                <w:szCs w:val="22"/>
              </w:rPr>
            </w:pPr>
          </w:p>
        </w:tc>
        <w:tc>
          <w:tcPr>
            <w:tcW w:w="7050" w:type="dxa"/>
            <w:gridSpan w:val="2"/>
            <w:tcBorders>
              <w:top w:val="single" w:sz="4" w:space="0" w:color="auto"/>
              <w:left w:val="nil"/>
              <w:bottom w:val="single" w:sz="4" w:space="0" w:color="auto"/>
              <w:right w:val="single" w:sz="4" w:space="0" w:color="auto"/>
            </w:tcBorders>
            <w:vAlign w:val="center"/>
          </w:tcPr>
          <w:p w:rsidR="001428C9" w:rsidRPr="00E51FB0" w:rsidRDefault="00170BF7" w:rsidP="005D14AD">
            <w:pPr>
              <w:snapToGrid w:val="0"/>
              <w:jc w:val="center"/>
              <w:rPr>
                <w:rFonts w:ascii="Calibri" w:hAnsi="Calibri" w:cs="Arial"/>
                <w:sz w:val="22"/>
                <w:szCs w:val="22"/>
              </w:rPr>
            </w:pPr>
            <w:r w:rsidRPr="00E51FB0">
              <w:rPr>
                <w:rFonts w:ascii="Calibri" w:hAnsi="Calibri" w:cs="Arial"/>
                <w:b/>
                <w:sz w:val="22"/>
                <w:szCs w:val="22"/>
              </w:rPr>
              <w:t>Title</w:t>
            </w:r>
          </w:p>
        </w:tc>
      </w:tr>
      <w:tr w:rsidR="001428C9" w:rsidRPr="00E51FB0">
        <w:trPr>
          <w:trHeight w:val="261"/>
        </w:trPr>
        <w:tc>
          <w:tcPr>
            <w:tcW w:w="3060" w:type="dxa"/>
            <w:tcBorders>
              <w:top w:val="nil"/>
              <w:left w:val="single" w:sz="4" w:space="0" w:color="auto"/>
              <w:bottom w:val="single" w:sz="4" w:space="0" w:color="auto"/>
              <w:right w:val="nil"/>
            </w:tcBorders>
            <w:vAlign w:val="bottom"/>
          </w:tcPr>
          <w:p w:rsidR="001428C9" w:rsidRPr="00E51FB0" w:rsidRDefault="001428C9" w:rsidP="005D14AD">
            <w:pPr>
              <w:snapToGrid w:val="0"/>
              <w:jc w:val="center"/>
              <w:rPr>
                <w:rFonts w:ascii="Calibri" w:hAnsi="Calibri" w:cs="Arial"/>
                <w:bCs/>
                <w:sz w:val="32"/>
                <w:szCs w:val="32"/>
              </w:rPr>
            </w:pPr>
          </w:p>
        </w:tc>
        <w:tc>
          <w:tcPr>
            <w:tcW w:w="3690" w:type="dxa"/>
            <w:tcBorders>
              <w:top w:val="nil"/>
              <w:left w:val="nil"/>
              <w:bottom w:val="single" w:sz="4" w:space="0" w:color="auto"/>
              <w:right w:val="nil"/>
            </w:tcBorders>
            <w:vAlign w:val="bottom"/>
          </w:tcPr>
          <w:p w:rsidR="001428C9" w:rsidRPr="00E51FB0" w:rsidRDefault="001428C9" w:rsidP="005D14AD">
            <w:pPr>
              <w:snapToGrid w:val="0"/>
              <w:jc w:val="center"/>
              <w:rPr>
                <w:rFonts w:ascii="Calibri" w:hAnsi="Calibri" w:cs="Arial"/>
                <w:sz w:val="22"/>
                <w:szCs w:val="22"/>
              </w:rPr>
            </w:pPr>
          </w:p>
        </w:tc>
        <w:tc>
          <w:tcPr>
            <w:tcW w:w="3360" w:type="dxa"/>
            <w:tcBorders>
              <w:top w:val="nil"/>
              <w:left w:val="nil"/>
              <w:bottom w:val="single" w:sz="4" w:space="0" w:color="auto"/>
              <w:right w:val="single" w:sz="4" w:space="0" w:color="auto"/>
            </w:tcBorders>
            <w:vAlign w:val="bottom"/>
          </w:tcPr>
          <w:p w:rsidR="001428C9" w:rsidRPr="00E51FB0" w:rsidRDefault="001428C9" w:rsidP="005D14AD">
            <w:pPr>
              <w:snapToGrid w:val="0"/>
              <w:jc w:val="center"/>
              <w:rPr>
                <w:rFonts w:ascii="Calibri" w:hAnsi="Calibri" w:cs="Arial"/>
                <w:sz w:val="22"/>
                <w:szCs w:val="22"/>
              </w:rPr>
            </w:pPr>
          </w:p>
        </w:tc>
      </w:tr>
      <w:tr w:rsidR="001428C9" w:rsidRPr="00E51FB0">
        <w:trPr>
          <w:trHeight w:val="300"/>
        </w:trPr>
        <w:tc>
          <w:tcPr>
            <w:tcW w:w="3060" w:type="dxa"/>
            <w:tcBorders>
              <w:top w:val="nil"/>
              <w:left w:val="single" w:sz="4" w:space="0" w:color="auto"/>
              <w:bottom w:val="nil"/>
              <w:right w:val="nil"/>
            </w:tcBorders>
          </w:tcPr>
          <w:p w:rsidR="001428C9" w:rsidRPr="00E51FB0" w:rsidRDefault="001428C9" w:rsidP="005D14AD">
            <w:pPr>
              <w:snapToGrid w:val="0"/>
              <w:jc w:val="center"/>
              <w:rPr>
                <w:rFonts w:ascii="Calibri" w:hAnsi="Calibri" w:cs="Arial"/>
                <w:b/>
                <w:bCs/>
                <w:sz w:val="22"/>
                <w:szCs w:val="22"/>
              </w:rPr>
            </w:pPr>
            <w:r w:rsidRPr="00E51FB0">
              <w:rPr>
                <w:rFonts w:ascii="Calibri" w:hAnsi="Calibri" w:cs="Arial"/>
                <w:b/>
                <w:bCs/>
                <w:sz w:val="22"/>
                <w:szCs w:val="22"/>
              </w:rPr>
              <w:t>Review Date, Initials</w:t>
            </w:r>
          </w:p>
        </w:tc>
        <w:tc>
          <w:tcPr>
            <w:tcW w:w="3690" w:type="dxa"/>
            <w:tcBorders>
              <w:top w:val="nil"/>
              <w:left w:val="nil"/>
              <w:bottom w:val="nil"/>
              <w:right w:val="nil"/>
            </w:tcBorders>
          </w:tcPr>
          <w:p w:rsidR="001428C9" w:rsidRPr="00E51FB0" w:rsidRDefault="001428C9" w:rsidP="005D14AD">
            <w:pPr>
              <w:snapToGrid w:val="0"/>
              <w:jc w:val="center"/>
              <w:rPr>
                <w:rFonts w:ascii="Calibri" w:hAnsi="Calibri" w:cs="Arial"/>
                <w:b/>
                <w:bCs/>
                <w:sz w:val="22"/>
                <w:szCs w:val="22"/>
              </w:rPr>
            </w:pPr>
            <w:r w:rsidRPr="00E51FB0">
              <w:rPr>
                <w:rFonts w:ascii="Calibri" w:hAnsi="Calibri" w:cs="Arial"/>
                <w:b/>
                <w:bCs/>
                <w:sz w:val="22"/>
                <w:szCs w:val="22"/>
              </w:rPr>
              <w:t>Review Date, Initials</w:t>
            </w:r>
          </w:p>
        </w:tc>
        <w:tc>
          <w:tcPr>
            <w:tcW w:w="3360" w:type="dxa"/>
            <w:tcBorders>
              <w:top w:val="nil"/>
              <w:left w:val="nil"/>
              <w:bottom w:val="nil"/>
              <w:right w:val="single" w:sz="4" w:space="0" w:color="auto"/>
            </w:tcBorders>
          </w:tcPr>
          <w:p w:rsidR="001428C9" w:rsidRPr="00E51FB0" w:rsidRDefault="001428C9" w:rsidP="005D14AD">
            <w:pPr>
              <w:snapToGrid w:val="0"/>
              <w:jc w:val="center"/>
              <w:rPr>
                <w:rFonts w:ascii="Calibri" w:hAnsi="Calibri" w:cs="Arial"/>
                <w:b/>
                <w:bCs/>
                <w:sz w:val="22"/>
                <w:szCs w:val="22"/>
              </w:rPr>
            </w:pPr>
            <w:r w:rsidRPr="00E51FB0">
              <w:rPr>
                <w:rFonts w:ascii="Calibri" w:hAnsi="Calibri" w:cs="Arial"/>
                <w:b/>
                <w:bCs/>
                <w:sz w:val="22"/>
                <w:szCs w:val="22"/>
              </w:rPr>
              <w:t>Review Date, Initials</w:t>
            </w:r>
          </w:p>
        </w:tc>
      </w:tr>
      <w:tr w:rsidR="001428C9" w:rsidRPr="00E51FB0">
        <w:trPr>
          <w:trHeight w:val="243"/>
        </w:trPr>
        <w:tc>
          <w:tcPr>
            <w:tcW w:w="3060" w:type="dxa"/>
            <w:tcBorders>
              <w:top w:val="nil"/>
              <w:left w:val="single" w:sz="4" w:space="0" w:color="auto"/>
              <w:bottom w:val="single" w:sz="4" w:space="0" w:color="auto"/>
              <w:right w:val="nil"/>
            </w:tcBorders>
            <w:vAlign w:val="bottom"/>
          </w:tcPr>
          <w:p w:rsidR="001428C9" w:rsidRPr="00E51FB0" w:rsidRDefault="001428C9" w:rsidP="005D14AD">
            <w:pPr>
              <w:pStyle w:val="Heading4"/>
              <w:jc w:val="center"/>
              <w:rPr>
                <w:rFonts w:ascii="Calibri" w:hAnsi="Calibri" w:cs="Arial"/>
                <w:b w:val="0"/>
                <w:sz w:val="28"/>
                <w:szCs w:val="28"/>
              </w:rPr>
            </w:pPr>
          </w:p>
        </w:tc>
        <w:tc>
          <w:tcPr>
            <w:tcW w:w="3690" w:type="dxa"/>
            <w:tcBorders>
              <w:top w:val="nil"/>
              <w:left w:val="nil"/>
              <w:bottom w:val="single" w:sz="4" w:space="0" w:color="auto"/>
              <w:right w:val="nil"/>
            </w:tcBorders>
            <w:vAlign w:val="bottom"/>
          </w:tcPr>
          <w:p w:rsidR="001428C9" w:rsidRPr="00E51FB0" w:rsidRDefault="001428C9" w:rsidP="005D14AD">
            <w:pPr>
              <w:snapToGrid w:val="0"/>
              <w:jc w:val="center"/>
              <w:rPr>
                <w:rFonts w:ascii="Calibri" w:hAnsi="Calibri" w:cs="Arial"/>
                <w:sz w:val="22"/>
                <w:szCs w:val="22"/>
              </w:rPr>
            </w:pPr>
          </w:p>
        </w:tc>
        <w:tc>
          <w:tcPr>
            <w:tcW w:w="3360" w:type="dxa"/>
            <w:tcBorders>
              <w:top w:val="nil"/>
              <w:left w:val="nil"/>
              <w:bottom w:val="single" w:sz="4" w:space="0" w:color="auto"/>
              <w:right w:val="single" w:sz="4" w:space="0" w:color="auto"/>
            </w:tcBorders>
            <w:vAlign w:val="bottom"/>
          </w:tcPr>
          <w:p w:rsidR="001428C9" w:rsidRPr="00E51FB0" w:rsidRDefault="001428C9" w:rsidP="005D14AD">
            <w:pPr>
              <w:snapToGrid w:val="0"/>
              <w:rPr>
                <w:rFonts w:ascii="Calibri" w:hAnsi="Calibri" w:cs="Arial"/>
                <w:sz w:val="22"/>
                <w:szCs w:val="22"/>
              </w:rPr>
            </w:pPr>
          </w:p>
        </w:tc>
      </w:tr>
    </w:tbl>
    <w:p w:rsidR="00623AF1" w:rsidRPr="008E7623" w:rsidRDefault="00623AF1">
      <w:pPr>
        <w:tabs>
          <w:tab w:val="left" w:pos="540"/>
          <w:tab w:val="left" w:pos="3780"/>
          <w:tab w:val="left" w:pos="7200"/>
        </w:tabs>
        <w:suppressAutoHyphens/>
        <w:ind w:right="-12908"/>
        <w:rPr>
          <w:rFonts w:ascii="Arial" w:hAnsi="Arial" w:cs="Arial"/>
          <w:sz w:val="16"/>
          <w:szCs w:val="16"/>
        </w:rPr>
      </w:pPr>
    </w:p>
    <w:p w:rsidR="00D81C1A" w:rsidRPr="00E51FB0" w:rsidRDefault="00D81C1A" w:rsidP="00D81C1A">
      <w:pPr>
        <w:rPr>
          <w:rFonts w:ascii="Calibri" w:hAnsi="Calibri"/>
          <w:b/>
          <w:sz w:val="24"/>
          <w:szCs w:val="24"/>
          <w:u w:val="single"/>
        </w:rPr>
      </w:pPr>
      <w:bookmarkStart w:id="0" w:name="_GoBack"/>
      <w:bookmarkEnd w:id="0"/>
    </w:p>
    <w:p w:rsidR="00D81C1A" w:rsidRPr="00E51FB0" w:rsidRDefault="00D81C1A" w:rsidP="00D81C1A">
      <w:pPr>
        <w:rPr>
          <w:rFonts w:ascii="Calibri" w:hAnsi="Calibri"/>
          <w:sz w:val="24"/>
          <w:szCs w:val="24"/>
        </w:rPr>
      </w:pPr>
      <w:r w:rsidRPr="00171B68">
        <w:rPr>
          <w:rFonts w:ascii="Calibri" w:hAnsi="Calibri"/>
          <w:b/>
          <w:sz w:val="24"/>
          <w:szCs w:val="24"/>
        </w:rPr>
        <w:t>POLICY</w:t>
      </w:r>
      <w:r w:rsidRPr="00E51FB0">
        <w:rPr>
          <w:rFonts w:ascii="Calibri" w:hAnsi="Calibri"/>
          <w:b/>
          <w:sz w:val="24"/>
          <w:szCs w:val="24"/>
        </w:rPr>
        <w:t>:</w:t>
      </w:r>
      <w:r w:rsidRPr="00E51FB0">
        <w:rPr>
          <w:rFonts w:ascii="Calibri" w:hAnsi="Calibri"/>
          <w:sz w:val="24"/>
          <w:szCs w:val="24"/>
        </w:rPr>
        <w:tab/>
      </w:r>
      <w:r w:rsidRPr="00E51FB0">
        <w:rPr>
          <w:rFonts w:ascii="Calibri" w:hAnsi="Calibri"/>
          <w:sz w:val="24"/>
          <w:szCs w:val="24"/>
        </w:rPr>
        <w:br/>
        <w:t>[ORGANIZATION] offers intensive self-blood pressure monitoring (SBPM), treatment adjustments, and education for patients with uncontrolled blood pressure (BP)/hypertension (HTN) using multiple approaches.  These approaches include:</w:t>
      </w:r>
    </w:p>
    <w:p w:rsidR="00D81C1A" w:rsidRPr="00E51FB0" w:rsidRDefault="00D81C1A" w:rsidP="00D81C1A">
      <w:pPr>
        <w:pStyle w:val="ListParagraph"/>
        <w:numPr>
          <w:ilvl w:val="0"/>
          <w:numId w:val="9"/>
        </w:numPr>
        <w:rPr>
          <w:sz w:val="24"/>
          <w:szCs w:val="24"/>
        </w:rPr>
      </w:pPr>
      <w:r w:rsidRPr="00E51FB0">
        <w:rPr>
          <w:sz w:val="24"/>
          <w:szCs w:val="24"/>
        </w:rPr>
        <w:t>Two week intervals of patient recorded BP readings</w:t>
      </w:r>
    </w:p>
    <w:p w:rsidR="00D81C1A" w:rsidRPr="00E51FB0" w:rsidRDefault="00D81C1A" w:rsidP="00D81C1A">
      <w:pPr>
        <w:pStyle w:val="ListParagraph"/>
        <w:numPr>
          <w:ilvl w:val="0"/>
          <w:numId w:val="9"/>
        </w:numPr>
        <w:rPr>
          <w:sz w:val="24"/>
          <w:szCs w:val="24"/>
        </w:rPr>
      </w:pPr>
      <w:r w:rsidRPr="00E51FB0">
        <w:rPr>
          <w:sz w:val="24"/>
          <w:szCs w:val="24"/>
        </w:rPr>
        <w:t>Nurse/Care Coordinator telephone calls to patients to review Self-Management Goals (SMGs), lifestyle changes and BP readings</w:t>
      </w:r>
    </w:p>
    <w:p w:rsidR="00D81C1A" w:rsidRPr="00E51FB0" w:rsidRDefault="00D81C1A" w:rsidP="00D81C1A">
      <w:pPr>
        <w:pStyle w:val="ListParagraph"/>
        <w:numPr>
          <w:ilvl w:val="0"/>
          <w:numId w:val="9"/>
        </w:numPr>
        <w:rPr>
          <w:sz w:val="24"/>
          <w:szCs w:val="24"/>
        </w:rPr>
      </w:pPr>
      <w:r w:rsidRPr="00E51FB0">
        <w:rPr>
          <w:sz w:val="24"/>
          <w:szCs w:val="24"/>
        </w:rPr>
        <w:t>Follow up visit with Nurse/Care Coordinator (in person) for monitoring, education and self-management</w:t>
      </w:r>
    </w:p>
    <w:p w:rsidR="00D81C1A" w:rsidRPr="00E51FB0" w:rsidRDefault="00D81C1A" w:rsidP="00D81C1A">
      <w:pPr>
        <w:pStyle w:val="ListParagraph"/>
        <w:numPr>
          <w:ilvl w:val="0"/>
          <w:numId w:val="9"/>
        </w:numPr>
        <w:rPr>
          <w:sz w:val="24"/>
          <w:szCs w:val="24"/>
        </w:rPr>
      </w:pPr>
      <w:r w:rsidRPr="00E51FB0">
        <w:rPr>
          <w:sz w:val="24"/>
          <w:szCs w:val="24"/>
        </w:rPr>
        <w:t>Medication adjustment by provider (if applicable)</w:t>
      </w:r>
    </w:p>
    <w:p w:rsidR="00D81C1A" w:rsidRPr="00E51FB0" w:rsidRDefault="00D81C1A" w:rsidP="00D81C1A">
      <w:pPr>
        <w:pStyle w:val="ListParagraph"/>
        <w:numPr>
          <w:ilvl w:val="0"/>
          <w:numId w:val="9"/>
        </w:numPr>
        <w:rPr>
          <w:sz w:val="24"/>
          <w:szCs w:val="24"/>
        </w:rPr>
      </w:pPr>
      <w:r w:rsidRPr="00E51FB0">
        <w:rPr>
          <w:sz w:val="24"/>
          <w:szCs w:val="24"/>
        </w:rPr>
        <w:t>Home VNA visit may be ordered as needed by referral</w:t>
      </w:r>
    </w:p>
    <w:p w:rsidR="00D81C1A" w:rsidRPr="00E51FB0" w:rsidRDefault="00D81C1A" w:rsidP="00D81C1A">
      <w:pPr>
        <w:rPr>
          <w:rFonts w:ascii="Calibri" w:hAnsi="Calibri"/>
          <w:sz w:val="24"/>
          <w:szCs w:val="24"/>
        </w:rPr>
      </w:pPr>
      <w:r w:rsidRPr="00E51FB0">
        <w:rPr>
          <w:rFonts w:ascii="Calibri" w:hAnsi="Calibri"/>
          <w:sz w:val="24"/>
          <w:szCs w:val="24"/>
        </w:rPr>
        <w:t>The PCP and clinical team will proactively plan patient specific interventions and follow-up prior to scheduled visits during Panel Management sessions.</w:t>
      </w:r>
    </w:p>
    <w:p w:rsidR="00D81C1A" w:rsidRPr="00E51FB0" w:rsidRDefault="00D81C1A" w:rsidP="00E13FED">
      <w:pPr>
        <w:tabs>
          <w:tab w:val="left" w:pos="540"/>
          <w:tab w:val="left" w:pos="3780"/>
          <w:tab w:val="left" w:pos="7200"/>
        </w:tabs>
        <w:suppressAutoHyphens/>
        <w:rPr>
          <w:rFonts w:ascii="Calibri" w:hAnsi="Calibri" w:cs="Arial"/>
          <w:b/>
          <w:bCs/>
          <w:sz w:val="24"/>
          <w:szCs w:val="24"/>
        </w:rPr>
      </w:pPr>
    </w:p>
    <w:p w:rsidR="00D81C1A" w:rsidRPr="00171B68" w:rsidRDefault="00D81C1A" w:rsidP="00E13FED">
      <w:pPr>
        <w:tabs>
          <w:tab w:val="left" w:pos="540"/>
          <w:tab w:val="left" w:pos="3780"/>
          <w:tab w:val="left" w:pos="7200"/>
        </w:tabs>
        <w:suppressAutoHyphens/>
        <w:rPr>
          <w:rFonts w:ascii="Calibri" w:hAnsi="Calibri" w:cs="Arial"/>
          <w:b/>
          <w:bCs/>
          <w:sz w:val="24"/>
          <w:szCs w:val="24"/>
          <w:u w:val="single"/>
        </w:rPr>
      </w:pPr>
    </w:p>
    <w:p w:rsidR="00D81C1A" w:rsidRPr="00171B68" w:rsidRDefault="00623AF1" w:rsidP="00E13FED">
      <w:pPr>
        <w:tabs>
          <w:tab w:val="left" w:pos="540"/>
          <w:tab w:val="left" w:pos="3780"/>
          <w:tab w:val="left" w:pos="7200"/>
        </w:tabs>
        <w:suppressAutoHyphens/>
        <w:rPr>
          <w:rFonts w:ascii="Calibri" w:hAnsi="Calibri" w:cs="Arial"/>
          <w:b/>
          <w:bCs/>
          <w:sz w:val="24"/>
          <w:szCs w:val="24"/>
          <w:u w:val="single"/>
        </w:rPr>
      </w:pPr>
      <w:r w:rsidRPr="00171B68">
        <w:rPr>
          <w:rFonts w:ascii="Calibri" w:hAnsi="Calibri" w:cs="Arial"/>
          <w:b/>
          <w:bCs/>
          <w:sz w:val="24"/>
          <w:szCs w:val="24"/>
        </w:rPr>
        <w:t>PURPOS</w:t>
      </w:r>
      <w:r w:rsidR="00171B68">
        <w:rPr>
          <w:rFonts w:ascii="Calibri" w:hAnsi="Calibri" w:cs="Arial"/>
          <w:b/>
          <w:bCs/>
          <w:sz w:val="24"/>
          <w:szCs w:val="24"/>
        </w:rPr>
        <w:t>E:</w:t>
      </w:r>
    </w:p>
    <w:p w:rsidR="00623AF1" w:rsidRPr="00E51FB0" w:rsidRDefault="00D81C1A" w:rsidP="00E13FED">
      <w:pPr>
        <w:tabs>
          <w:tab w:val="left" w:pos="540"/>
          <w:tab w:val="left" w:pos="3780"/>
          <w:tab w:val="left" w:pos="7200"/>
        </w:tabs>
        <w:suppressAutoHyphens/>
        <w:rPr>
          <w:rFonts w:ascii="Calibri" w:hAnsi="Calibri" w:cs="Arial"/>
          <w:b/>
          <w:bCs/>
          <w:sz w:val="24"/>
          <w:szCs w:val="24"/>
        </w:rPr>
      </w:pPr>
      <w:r w:rsidRPr="00E51FB0">
        <w:rPr>
          <w:rFonts w:ascii="Calibri" w:hAnsi="Calibri"/>
          <w:sz w:val="24"/>
          <w:szCs w:val="24"/>
        </w:rPr>
        <w:t xml:space="preserve">Uncontrolled BP is a significant risk factor for stroke, heart attack and heart and kidney failure.  Self-blood pressure monitoring is a better predictor of outcomes than office blood pressure monitoring because it identifies masked and white coat hypertension.  Team based care coordination, including close follow-up and support from a specially trained Nurse/Care Coordinator working individually with patients to set their own goals and learn how to monitor their own BP, helps patients attain BP control more rapidly and effectively than they otherwise would.  Self-management results in better BP control with patients with uncontrolled hypertension. </w:t>
      </w:r>
      <w:r w:rsidR="00623AF1" w:rsidRPr="00E51FB0">
        <w:rPr>
          <w:rFonts w:ascii="Calibri" w:hAnsi="Calibri" w:cs="Arial"/>
          <w:sz w:val="24"/>
          <w:szCs w:val="24"/>
        </w:rPr>
        <w:t xml:space="preserve">  </w:t>
      </w:r>
    </w:p>
    <w:p w:rsidR="00B95FD5" w:rsidRPr="00E51FB0" w:rsidRDefault="00B95FD5" w:rsidP="00B95FD5">
      <w:pPr>
        <w:tabs>
          <w:tab w:val="left" w:pos="480"/>
          <w:tab w:val="left" w:pos="3780"/>
          <w:tab w:val="left" w:pos="7200"/>
        </w:tabs>
        <w:suppressAutoHyphens/>
        <w:rPr>
          <w:rFonts w:ascii="Calibri" w:hAnsi="Calibri" w:cs="Arial"/>
          <w:b/>
          <w:bCs/>
          <w:sz w:val="24"/>
          <w:szCs w:val="24"/>
        </w:rPr>
      </w:pPr>
    </w:p>
    <w:p w:rsidR="00D81C1A" w:rsidRPr="00E51FB0" w:rsidRDefault="00623AF1" w:rsidP="00B95FD5">
      <w:pPr>
        <w:tabs>
          <w:tab w:val="left" w:pos="480"/>
          <w:tab w:val="left" w:pos="3780"/>
          <w:tab w:val="left" w:pos="7200"/>
        </w:tabs>
        <w:suppressAutoHyphens/>
        <w:rPr>
          <w:rFonts w:ascii="Calibri" w:hAnsi="Calibri" w:cs="Arial"/>
          <w:b/>
          <w:bCs/>
          <w:sz w:val="24"/>
          <w:szCs w:val="24"/>
        </w:rPr>
      </w:pPr>
      <w:r w:rsidRPr="00171B68">
        <w:rPr>
          <w:rFonts w:ascii="Calibri" w:hAnsi="Calibri" w:cs="Arial"/>
          <w:b/>
          <w:bCs/>
          <w:sz w:val="24"/>
          <w:szCs w:val="24"/>
        </w:rPr>
        <w:t>PROCEDURE</w:t>
      </w:r>
      <w:r w:rsidRPr="00E51FB0">
        <w:rPr>
          <w:rFonts w:ascii="Calibri" w:hAnsi="Calibri" w:cs="Arial"/>
          <w:b/>
          <w:bCs/>
          <w:sz w:val="24"/>
          <w:szCs w:val="24"/>
        </w:rPr>
        <w:t>:</w:t>
      </w:r>
    </w:p>
    <w:p w:rsidR="00D81C1A" w:rsidRPr="00E51FB0" w:rsidRDefault="00D81C1A" w:rsidP="00D81C1A">
      <w:pPr>
        <w:pStyle w:val="ListParagraph"/>
        <w:numPr>
          <w:ilvl w:val="0"/>
          <w:numId w:val="10"/>
        </w:numPr>
        <w:rPr>
          <w:sz w:val="24"/>
          <w:szCs w:val="24"/>
        </w:rPr>
      </w:pPr>
      <w:r w:rsidRPr="00E51FB0">
        <w:rPr>
          <w:sz w:val="24"/>
          <w:szCs w:val="24"/>
        </w:rPr>
        <w:t xml:space="preserve">Patients in need of SBPM are identified by the PCP and Nurse/Care Coordinator (N/CC).  </w:t>
      </w:r>
    </w:p>
    <w:p w:rsidR="00D81C1A" w:rsidRPr="00E51FB0" w:rsidRDefault="00D81C1A" w:rsidP="00D81C1A">
      <w:pPr>
        <w:pStyle w:val="ListParagraph"/>
        <w:numPr>
          <w:ilvl w:val="0"/>
          <w:numId w:val="10"/>
        </w:numPr>
        <w:rPr>
          <w:sz w:val="24"/>
          <w:szCs w:val="24"/>
        </w:rPr>
      </w:pPr>
      <w:r w:rsidRPr="00E51FB0">
        <w:rPr>
          <w:sz w:val="24"/>
          <w:szCs w:val="24"/>
        </w:rPr>
        <w:t>The PCPs and/or N/CCs outreach to their patient and offer the opportunity to participate in the SBPM program, scheduling an initial nursing office visit for patients who wish to participate.</w:t>
      </w:r>
    </w:p>
    <w:p w:rsidR="00D81C1A" w:rsidRPr="00E51FB0" w:rsidRDefault="00D81C1A" w:rsidP="00D81C1A">
      <w:pPr>
        <w:pStyle w:val="ListParagraph"/>
        <w:numPr>
          <w:ilvl w:val="0"/>
          <w:numId w:val="10"/>
        </w:numPr>
        <w:rPr>
          <w:sz w:val="24"/>
          <w:szCs w:val="24"/>
        </w:rPr>
      </w:pPr>
      <w:r w:rsidRPr="00E51FB0">
        <w:rPr>
          <w:sz w:val="24"/>
          <w:szCs w:val="24"/>
        </w:rPr>
        <w:t>The initial contact and all subsequent contact is documented in the EHR or other medical record tool.</w:t>
      </w:r>
    </w:p>
    <w:p w:rsidR="00D81C1A" w:rsidRPr="00E51FB0" w:rsidRDefault="00D81C1A" w:rsidP="00D81C1A">
      <w:pPr>
        <w:pStyle w:val="ListParagraph"/>
        <w:numPr>
          <w:ilvl w:val="0"/>
          <w:numId w:val="10"/>
        </w:numPr>
        <w:rPr>
          <w:sz w:val="24"/>
          <w:szCs w:val="24"/>
        </w:rPr>
      </w:pPr>
      <w:r w:rsidRPr="00E51FB0">
        <w:rPr>
          <w:sz w:val="24"/>
          <w:szCs w:val="24"/>
        </w:rPr>
        <w:lastRenderedPageBreak/>
        <w:t>A home BP monitor is procured for patient utilizing methods that may include:</w:t>
      </w:r>
    </w:p>
    <w:p w:rsidR="00D81C1A" w:rsidRPr="00E51FB0" w:rsidRDefault="00D81C1A" w:rsidP="00D81C1A">
      <w:pPr>
        <w:pStyle w:val="ListParagraph"/>
        <w:numPr>
          <w:ilvl w:val="1"/>
          <w:numId w:val="10"/>
        </w:numPr>
        <w:rPr>
          <w:sz w:val="24"/>
          <w:szCs w:val="24"/>
        </w:rPr>
      </w:pPr>
      <w:r w:rsidRPr="00E51FB0">
        <w:rPr>
          <w:sz w:val="24"/>
          <w:szCs w:val="24"/>
        </w:rPr>
        <w:t>Patient is given a donated monitor to use during the self-monitoring period and return when monitoring is completed.</w:t>
      </w:r>
    </w:p>
    <w:p w:rsidR="00D81C1A" w:rsidRPr="00E51FB0" w:rsidRDefault="00D81C1A" w:rsidP="00D81C1A">
      <w:pPr>
        <w:pStyle w:val="ListParagraph"/>
        <w:numPr>
          <w:ilvl w:val="1"/>
          <w:numId w:val="10"/>
        </w:numPr>
        <w:rPr>
          <w:sz w:val="24"/>
          <w:szCs w:val="24"/>
        </w:rPr>
      </w:pPr>
      <w:r w:rsidRPr="00E51FB0">
        <w:rPr>
          <w:sz w:val="24"/>
          <w:szCs w:val="24"/>
        </w:rPr>
        <w:t>PCP calls in prescription for monitor and, if covered by insurance, is filled and delivered to the clinical site.</w:t>
      </w:r>
    </w:p>
    <w:p w:rsidR="00D81C1A" w:rsidRPr="00E51FB0" w:rsidRDefault="00D81C1A" w:rsidP="00D81C1A">
      <w:pPr>
        <w:pStyle w:val="ListParagraph"/>
        <w:numPr>
          <w:ilvl w:val="1"/>
          <w:numId w:val="10"/>
        </w:numPr>
        <w:rPr>
          <w:sz w:val="24"/>
          <w:szCs w:val="24"/>
        </w:rPr>
      </w:pPr>
      <w:r w:rsidRPr="00E51FB0">
        <w:rPr>
          <w:sz w:val="24"/>
          <w:szCs w:val="24"/>
        </w:rPr>
        <w:t>PCP gives prescription to patient who has it filled and takes monitor to the initial nursing visit.</w:t>
      </w:r>
    </w:p>
    <w:p w:rsidR="00D81C1A" w:rsidRPr="00E51FB0" w:rsidRDefault="00D81C1A" w:rsidP="00D81C1A">
      <w:pPr>
        <w:pStyle w:val="ListParagraph"/>
        <w:numPr>
          <w:ilvl w:val="0"/>
          <w:numId w:val="10"/>
        </w:numPr>
        <w:rPr>
          <w:sz w:val="24"/>
          <w:szCs w:val="24"/>
        </w:rPr>
      </w:pPr>
      <w:r w:rsidRPr="00E51FB0">
        <w:rPr>
          <w:sz w:val="24"/>
          <w:szCs w:val="24"/>
        </w:rPr>
        <w:t>The initial nurse visit includes:</w:t>
      </w:r>
    </w:p>
    <w:p w:rsidR="00D81C1A" w:rsidRPr="00E51FB0" w:rsidRDefault="00D81C1A" w:rsidP="00D81C1A">
      <w:pPr>
        <w:pStyle w:val="ListParagraph"/>
        <w:numPr>
          <w:ilvl w:val="1"/>
          <w:numId w:val="10"/>
        </w:numPr>
        <w:rPr>
          <w:sz w:val="24"/>
          <w:szCs w:val="24"/>
        </w:rPr>
      </w:pPr>
      <w:r w:rsidRPr="00E51FB0">
        <w:rPr>
          <w:sz w:val="24"/>
          <w:szCs w:val="24"/>
        </w:rPr>
        <w:t>Assessment of medication adherence and smoking cessation desire if applicable.</w:t>
      </w:r>
    </w:p>
    <w:p w:rsidR="00D81C1A" w:rsidRPr="00E51FB0" w:rsidRDefault="00D81C1A" w:rsidP="00D81C1A">
      <w:pPr>
        <w:pStyle w:val="ListParagraph"/>
        <w:numPr>
          <w:ilvl w:val="1"/>
          <w:numId w:val="10"/>
        </w:numPr>
        <w:rPr>
          <w:sz w:val="24"/>
          <w:szCs w:val="24"/>
        </w:rPr>
      </w:pPr>
      <w:r w:rsidRPr="00E51FB0">
        <w:rPr>
          <w:sz w:val="24"/>
          <w:szCs w:val="24"/>
        </w:rPr>
        <w:t>Education regarding the disease process and lifestyle modifications including diet and exercise</w:t>
      </w:r>
    </w:p>
    <w:p w:rsidR="00D81C1A" w:rsidRPr="00E51FB0" w:rsidRDefault="00D81C1A" w:rsidP="00D81C1A">
      <w:pPr>
        <w:pStyle w:val="ListParagraph"/>
        <w:numPr>
          <w:ilvl w:val="1"/>
          <w:numId w:val="10"/>
        </w:numPr>
        <w:rPr>
          <w:sz w:val="24"/>
          <w:szCs w:val="24"/>
        </w:rPr>
      </w:pPr>
      <w:r w:rsidRPr="00E51FB0">
        <w:rPr>
          <w:sz w:val="24"/>
          <w:szCs w:val="24"/>
        </w:rPr>
        <w:t xml:space="preserve">Provision and review of educational materials including a </w:t>
      </w:r>
      <w:r w:rsidRPr="00E51FB0">
        <w:rPr>
          <w:i/>
          <w:sz w:val="24"/>
          <w:szCs w:val="24"/>
        </w:rPr>
        <w:t>My Path to Healthy Numbers</w:t>
      </w:r>
      <w:r w:rsidRPr="00E51FB0">
        <w:rPr>
          <w:sz w:val="24"/>
          <w:szCs w:val="24"/>
        </w:rPr>
        <w:t xml:space="preserve"> booklet which patient is instructed to take to all office visits for review.</w:t>
      </w:r>
    </w:p>
    <w:p w:rsidR="00D81C1A" w:rsidRPr="00E51FB0" w:rsidRDefault="00D81C1A" w:rsidP="00D81C1A">
      <w:pPr>
        <w:pStyle w:val="ListParagraph"/>
        <w:numPr>
          <w:ilvl w:val="1"/>
          <w:numId w:val="10"/>
        </w:numPr>
        <w:rPr>
          <w:sz w:val="24"/>
          <w:szCs w:val="24"/>
        </w:rPr>
      </w:pPr>
      <w:r w:rsidRPr="00E51FB0">
        <w:rPr>
          <w:sz w:val="24"/>
          <w:szCs w:val="24"/>
        </w:rPr>
        <w:t>Provision of a home BP monitor (if not already obtained by patient).</w:t>
      </w:r>
    </w:p>
    <w:p w:rsidR="00D81C1A" w:rsidRPr="00E51FB0" w:rsidRDefault="00D81C1A" w:rsidP="00D81C1A">
      <w:pPr>
        <w:pStyle w:val="ListParagraph"/>
        <w:numPr>
          <w:ilvl w:val="1"/>
          <w:numId w:val="10"/>
        </w:numPr>
        <w:rPr>
          <w:sz w:val="24"/>
          <w:szCs w:val="24"/>
        </w:rPr>
      </w:pPr>
      <w:r w:rsidRPr="00E51FB0">
        <w:rPr>
          <w:sz w:val="24"/>
          <w:szCs w:val="24"/>
        </w:rPr>
        <w:t xml:space="preserve">Instruction on SBPM including encouragement to take BP readings in the morning and evening and record them in the </w:t>
      </w:r>
      <w:r w:rsidRPr="00E51FB0">
        <w:rPr>
          <w:i/>
          <w:sz w:val="24"/>
          <w:szCs w:val="24"/>
        </w:rPr>
        <w:t>My Path to Healthy Numbers</w:t>
      </w:r>
      <w:r w:rsidRPr="00E51FB0">
        <w:rPr>
          <w:sz w:val="24"/>
          <w:szCs w:val="24"/>
        </w:rPr>
        <w:t xml:space="preserve"> booklet.</w:t>
      </w:r>
    </w:p>
    <w:p w:rsidR="00D81C1A" w:rsidRPr="00E51FB0" w:rsidRDefault="00D81C1A" w:rsidP="00D81C1A">
      <w:pPr>
        <w:pStyle w:val="ListParagraph"/>
        <w:numPr>
          <w:ilvl w:val="0"/>
          <w:numId w:val="10"/>
        </w:numPr>
        <w:rPr>
          <w:sz w:val="24"/>
          <w:szCs w:val="24"/>
        </w:rPr>
      </w:pPr>
      <w:r w:rsidRPr="00E51FB0">
        <w:rPr>
          <w:sz w:val="24"/>
          <w:szCs w:val="24"/>
        </w:rPr>
        <w:t>N/CC uses Motivational Interviewing techniques to determine readiness and encourage the patient to set a Self-Management Goal(s).</w:t>
      </w:r>
    </w:p>
    <w:p w:rsidR="00D81C1A" w:rsidRPr="00E51FB0" w:rsidRDefault="00D81C1A" w:rsidP="00D81C1A">
      <w:pPr>
        <w:pStyle w:val="ListParagraph"/>
        <w:numPr>
          <w:ilvl w:val="0"/>
          <w:numId w:val="10"/>
        </w:numPr>
        <w:rPr>
          <w:sz w:val="24"/>
          <w:szCs w:val="24"/>
        </w:rPr>
      </w:pPr>
      <w:r w:rsidRPr="00E51FB0">
        <w:rPr>
          <w:sz w:val="24"/>
          <w:szCs w:val="24"/>
        </w:rPr>
        <w:t>N/CC schedules a follow-up appointment with the patient two weeks after initiation of the SBPM; this appointment can be face-to-face or a telephonic virtual visit.</w:t>
      </w:r>
    </w:p>
    <w:p w:rsidR="00D81C1A" w:rsidRPr="00E51FB0" w:rsidRDefault="00D81C1A" w:rsidP="00D81C1A">
      <w:pPr>
        <w:pStyle w:val="ListParagraph"/>
        <w:numPr>
          <w:ilvl w:val="0"/>
          <w:numId w:val="10"/>
        </w:numPr>
        <w:rPr>
          <w:sz w:val="24"/>
          <w:szCs w:val="24"/>
        </w:rPr>
      </w:pPr>
      <w:r w:rsidRPr="00E51FB0">
        <w:rPr>
          <w:sz w:val="24"/>
          <w:szCs w:val="24"/>
        </w:rPr>
        <w:t>N/CC documents the patient visit and management in the EHR or other medical record tool and informs PCP of the visit via Telephone Encounter (TE), progress note, or other established method of communication.</w:t>
      </w:r>
    </w:p>
    <w:p w:rsidR="00D81C1A" w:rsidRPr="00E51FB0" w:rsidRDefault="00D81C1A" w:rsidP="00D81C1A">
      <w:pPr>
        <w:pStyle w:val="ListParagraph"/>
        <w:numPr>
          <w:ilvl w:val="0"/>
          <w:numId w:val="10"/>
        </w:numPr>
        <w:rPr>
          <w:sz w:val="24"/>
          <w:szCs w:val="24"/>
        </w:rPr>
      </w:pPr>
      <w:r w:rsidRPr="00E51FB0">
        <w:rPr>
          <w:sz w:val="24"/>
          <w:szCs w:val="24"/>
        </w:rPr>
        <w:t>Patients receive weekly phone calls from the N/CC to review BP readings, SMGs, and care plan with the patient.  Phone calls are documented in the EHR or other medical record tool.</w:t>
      </w:r>
    </w:p>
    <w:p w:rsidR="00D81C1A" w:rsidRPr="00E51FB0" w:rsidRDefault="00D81C1A" w:rsidP="00D81C1A">
      <w:pPr>
        <w:pStyle w:val="ListParagraph"/>
        <w:numPr>
          <w:ilvl w:val="0"/>
          <w:numId w:val="10"/>
        </w:numPr>
        <w:rPr>
          <w:sz w:val="24"/>
          <w:szCs w:val="24"/>
        </w:rPr>
      </w:pPr>
      <w:r w:rsidRPr="00E51FB0">
        <w:rPr>
          <w:sz w:val="24"/>
          <w:szCs w:val="24"/>
        </w:rPr>
        <w:t>N/CC communicates any changes and/or concerns to the PCP via TE, progress note, or other established method of communication.</w:t>
      </w:r>
    </w:p>
    <w:p w:rsidR="00D81C1A" w:rsidRPr="00E51FB0" w:rsidRDefault="00D81C1A" w:rsidP="00D81C1A">
      <w:pPr>
        <w:pStyle w:val="ListParagraph"/>
        <w:numPr>
          <w:ilvl w:val="0"/>
          <w:numId w:val="10"/>
        </w:numPr>
        <w:rPr>
          <w:sz w:val="24"/>
          <w:szCs w:val="24"/>
        </w:rPr>
      </w:pPr>
      <w:r w:rsidRPr="00E51FB0">
        <w:rPr>
          <w:sz w:val="24"/>
          <w:szCs w:val="24"/>
        </w:rPr>
        <w:t>N/CC calculates the average morning and evening BP result and documents in the EHR or other medical record tool.</w:t>
      </w:r>
    </w:p>
    <w:p w:rsidR="00D81C1A" w:rsidRPr="00E51FB0" w:rsidRDefault="00D81C1A" w:rsidP="00D81C1A">
      <w:pPr>
        <w:pStyle w:val="ListParagraph"/>
        <w:numPr>
          <w:ilvl w:val="0"/>
          <w:numId w:val="10"/>
        </w:numPr>
        <w:rPr>
          <w:sz w:val="24"/>
          <w:szCs w:val="24"/>
        </w:rPr>
      </w:pPr>
      <w:r w:rsidRPr="00E51FB0">
        <w:rPr>
          <w:sz w:val="24"/>
          <w:szCs w:val="24"/>
        </w:rPr>
        <w:t>N/CC reviews the established SMG and works with the patient to problem solve or establish a new goal.</w:t>
      </w:r>
    </w:p>
    <w:p w:rsidR="00D81C1A" w:rsidRPr="00E51FB0" w:rsidRDefault="00D81C1A" w:rsidP="00D81C1A">
      <w:pPr>
        <w:pStyle w:val="ListParagraph"/>
        <w:numPr>
          <w:ilvl w:val="0"/>
          <w:numId w:val="10"/>
        </w:numPr>
        <w:rPr>
          <w:sz w:val="24"/>
          <w:szCs w:val="24"/>
        </w:rPr>
      </w:pPr>
      <w:r w:rsidRPr="00E51FB0">
        <w:rPr>
          <w:sz w:val="24"/>
          <w:szCs w:val="24"/>
        </w:rPr>
        <w:t>Self BP result information is sent to the PCP for review through a TE, progress note, other established method of communication, or during Panel Management sessions.</w:t>
      </w:r>
    </w:p>
    <w:p w:rsidR="00D81C1A" w:rsidRPr="00E51FB0" w:rsidRDefault="00D81C1A" w:rsidP="00D81C1A">
      <w:pPr>
        <w:pStyle w:val="ListParagraph"/>
        <w:numPr>
          <w:ilvl w:val="0"/>
          <w:numId w:val="10"/>
        </w:numPr>
        <w:rPr>
          <w:sz w:val="24"/>
          <w:szCs w:val="24"/>
        </w:rPr>
      </w:pPr>
      <w:r w:rsidRPr="00E51FB0">
        <w:rPr>
          <w:sz w:val="24"/>
          <w:szCs w:val="24"/>
        </w:rPr>
        <w:t>The PCP documents medication and/or other adjustments to be implemented in the EHR or other medical record tool.</w:t>
      </w:r>
    </w:p>
    <w:p w:rsidR="00D81C1A" w:rsidRPr="00E51FB0" w:rsidRDefault="00D81C1A" w:rsidP="00D81C1A">
      <w:pPr>
        <w:pStyle w:val="ListParagraph"/>
        <w:numPr>
          <w:ilvl w:val="0"/>
          <w:numId w:val="10"/>
        </w:numPr>
        <w:rPr>
          <w:sz w:val="24"/>
          <w:szCs w:val="24"/>
        </w:rPr>
      </w:pPr>
      <w:r w:rsidRPr="00E51FB0">
        <w:rPr>
          <w:sz w:val="24"/>
          <w:szCs w:val="24"/>
        </w:rPr>
        <w:t>The N/CC informs patient of recommended medication changes and schedules a nursing visit or telephone virtual visit in two weeks.</w:t>
      </w:r>
    </w:p>
    <w:p w:rsidR="00D81C1A" w:rsidRPr="00E51FB0" w:rsidRDefault="00D81C1A" w:rsidP="00D81C1A">
      <w:pPr>
        <w:pStyle w:val="ListParagraph"/>
        <w:numPr>
          <w:ilvl w:val="0"/>
          <w:numId w:val="10"/>
        </w:numPr>
        <w:rPr>
          <w:sz w:val="24"/>
          <w:szCs w:val="24"/>
        </w:rPr>
      </w:pPr>
      <w:r w:rsidRPr="00E51FB0">
        <w:rPr>
          <w:sz w:val="24"/>
          <w:szCs w:val="24"/>
        </w:rPr>
        <w:t>One month following the original nursing visit, patient attends a follow-up office visit.  Again, BP logs and SMGs are reviewed and education related to BP monitoring, disease process, lifestyle modifications, and medications is reinforced.</w:t>
      </w:r>
    </w:p>
    <w:p w:rsidR="00D81C1A" w:rsidRPr="00E51FB0" w:rsidRDefault="00D81C1A" w:rsidP="00D81C1A">
      <w:pPr>
        <w:pStyle w:val="ListParagraph"/>
        <w:numPr>
          <w:ilvl w:val="0"/>
          <w:numId w:val="10"/>
        </w:numPr>
        <w:rPr>
          <w:sz w:val="24"/>
          <w:szCs w:val="24"/>
        </w:rPr>
      </w:pPr>
      <w:r w:rsidRPr="00E51FB0">
        <w:rPr>
          <w:sz w:val="24"/>
          <w:szCs w:val="24"/>
        </w:rPr>
        <w:t>Following the second office visit, patient is encouraged to follow-up with his/her PCP for routine medical care as needed.</w:t>
      </w:r>
    </w:p>
    <w:p w:rsidR="00D81C1A" w:rsidRPr="00E51FB0" w:rsidRDefault="00D81C1A" w:rsidP="00D81C1A">
      <w:pPr>
        <w:pStyle w:val="ListParagraph"/>
        <w:numPr>
          <w:ilvl w:val="0"/>
          <w:numId w:val="10"/>
        </w:numPr>
        <w:rPr>
          <w:sz w:val="24"/>
          <w:szCs w:val="24"/>
        </w:rPr>
      </w:pPr>
      <w:r w:rsidRPr="00E51FB0">
        <w:rPr>
          <w:sz w:val="24"/>
          <w:szCs w:val="24"/>
        </w:rPr>
        <w:t>Process is repeated until hypertension control is achieved.</w:t>
      </w:r>
    </w:p>
    <w:sectPr w:rsidR="00D81C1A" w:rsidRPr="00E51FB0" w:rsidSect="00E13FED">
      <w:footerReference w:type="default" r:id="rId8"/>
      <w:endnotePr>
        <w:numFmt w:val="decimal"/>
      </w:endnotePr>
      <w:pgSz w:w="12240" w:h="15840" w:code="1"/>
      <w:pgMar w:top="810" w:right="1080" w:bottom="662" w:left="900" w:header="562" w:footer="6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FB0" w:rsidRDefault="00E51FB0">
      <w:pPr>
        <w:spacing w:line="20" w:lineRule="exact"/>
        <w:rPr>
          <w:sz w:val="24"/>
        </w:rPr>
      </w:pPr>
    </w:p>
  </w:endnote>
  <w:endnote w:type="continuationSeparator" w:id="0">
    <w:p w:rsidR="00E51FB0" w:rsidRDefault="00E51FB0">
      <w:r>
        <w:rPr>
          <w:sz w:val="24"/>
        </w:rPr>
        <w:t xml:space="preserve"> </w:t>
      </w:r>
    </w:p>
  </w:endnote>
  <w:endnote w:type="continuationNotice" w:id="1">
    <w:p w:rsidR="00E51FB0" w:rsidRDefault="00E51F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E0" w:rsidRPr="0078526C" w:rsidRDefault="00D81C1A" w:rsidP="00E13FED">
    <w:pPr>
      <w:pStyle w:val="Footer"/>
      <w:tabs>
        <w:tab w:val="clear" w:pos="8640"/>
        <w:tab w:val="left" w:pos="8010"/>
        <w:tab w:val="right" w:pos="8190"/>
      </w:tabs>
      <w:rPr>
        <w:rFonts w:ascii="Arial" w:hAnsi="Arial" w:cs="Arial"/>
        <w:sz w:val="22"/>
        <w:szCs w:val="22"/>
      </w:rPr>
    </w:pPr>
    <w:r w:rsidRPr="00E51FB0">
      <w:rPr>
        <w:rFonts w:ascii="Calibri" w:hAnsi="Calibri" w:cs="Arial"/>
      </w:rPr>
      <w:t>Self-Blood Pressure Monitoring</w:t>
    </w:r>
    <w:r w:rsidR="00E13FED" w:rsidRPr="0078526C">
      <w:rPr>
        <w:rFonts w:ascii="Arial" w:hAnsi="Arial" w:cs="Arial"/>
        <w:sz w:val="22"/>
        <w:szCs w:val="22"/>
      </w:rPr>
      <w:tab/>
    </w:r>
    <w:r w:rsidR="00E13FED" w:rsidRPr="0078526C">
      <w:rPr>
        <w:rFonts w:ascii="Arial" w:hAnsi="Arial" w:cs="Arial"/>
        <w:sz w:val="22"/>
        <w:szCs w:val="22"/>
      </w:rPr>
      <w:tab/>
    </w:r>
    <w:r w:rsidR="00E13FED" w:rsidRPr="00E51FB0">
      <w:rPr>
        <w:rFonts w:ascii="Calibri" w:hAnsi="Calibri" w:cs="Arial"/>
      </w:rPr>
      <w:t xml:space="preserve">          </w:t>
    </w:r>
    <w:r w:rsidR="00E13FED" w:rsidRPr="00E51FB0">
      <w:rPr>
        <w:rFonts w:ascii="Calibri" w:hAnsi="Calibri" w:cs="Arial"/>
      </w:rPr>
      <w:tab/>
    </w:r>
    <w:r w:rsidR="009F18E0" w:rsidRPr="00E51FB0">
      <w:rPr>
        <w:rFonts w:ascii="Calibri" w:hAnsi="Calibri" w:cs="Arial"/>
      </w:rPr>
      <w:t xml:space="preserve">Page </w:t>
    </w:r>
    <w:r w:rsidR="009F18E0" w:rsidRPr="00E51FB0">
      <w:rPr>
        <w:rFonts w:ascii="Calibri" w:hAnsi="Calibri" w:cs="Arial"/>
      </w:rPr>
      <w:fldChar w:fldCharType="begin"/>
    </w:r>
    <w:r w:rsidR="009F18E0" w:rsidRPr="00E51FB0">
      <w:rPr>
        <w:rFonts w:ascii="Calibri" w:hAnsi="Calibri" w:cs="Arial"/>
      </w:rPr>
      <w:instrText xml:space="preserve"> PAGE </w:instrText>
    </w:r>
    <w:r w:rsidR="009F18E0" w:rsidRPr="00E51FB0">
      <w:rPr>
        <w:rFonts w:ascii="Calibri" w:hAnsi="Calibri" w:cs="Arial"/>
      </w:rPr>
      <w:fldChar w:fldCharType="separate"/>
    </w:r>
    <w:r w:rsidR="00FB42D8">
      <w:rPr>
        <w:rFonts w:ascii="Calibri" w:hAnsi="Calibri" w:cs="Arial"/>
        <w:noProof/>
      </w:rPr>
      <w:t>2</w:t>
    </w:r>
    <w:r w:rsidR="009F18E0" w:rsidRPr="00E51FB0">
      <w:rPr>
        <w:rFonts w:ascii="Calibri" w:hAnsi="Calibri" w:cs="Arial"/>
      </w:rPr>
      <w:fldChar w:fldCharType="end"/>
    </w:r>
    <w:r w:rsidR="009F18E0" w:rsidRPr="00E51FB0">
      <w:rPr>
        <w:rFonts w:ascii="Calibri" w:hAnsi="Calibri" w:cs="Arial"/>
      </w:rPr>
      <w:t xml:space="preserve"> of </w:t>
    </w:r>
    <w:r w:rsidRPr="00E51FB0">
      <w:rPr>
        <w:rFonts w:ascii="Calibri" w:hAnsi="Calibri" w:cs="Arial"/>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FB0" w:rsidRDefault="00E51FB0">
      <w:r>
        <w:rPr>
          <w:sz w:val="24"/>
        </w:rPr>
        <w:separator/>
      </w:r>
    </w:p>
  </w:footnote>
  <w:footnote w:type="continuationSeparator" w:id="0">
    <w:p w:rsidR="00E51FB0" w:rsidRDefault="00E51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16E6"/>
    <w:multiLevelType w:val="hybridMultilevel"/>
    <w:tmpl w:val="45D44D14"/>
    <w:lvl w:ilvl="0" w:tplc="E90AAB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B5256"/>
    <w:multiLevelType w:val="singleLevel"/>
    <w:tmpl w:val="F076779E"/>
    <w:lvl w:ilvl="0">
      <w:start w:val="1"/>
      <w:numFmt w:val="decimal"/>
      <w:lvlText w:val="%1."/>
      <w:lvlJc w:val="left"/>
      <w:pPr>
        <w:tabs>
          <w:tab w:val="num" w:pos="559"/>
        </w:tabs>
        <w:ind w:left="559" w:hanging="360"/>
      </w:pPr>
      <w:rPr>
        <w:rFonts w:hint="default"/>
      </w:rPr>
    </w:lvl>
  </w:abstractNum>
  <w:abstractNum w:abstractNumId="2">
    <w:nsid w:val="1C97022B"/>
    <w:multiLevelType w:val="hybridMultilevel"/>
    <w:tmpl w:val="83245B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940688"/>
    <w:multiLevelType w:val="singleLevel"/>
    <w:tmpl w:val="6636A430"/>
    <w:lvl w:ilvl="0">
      <w:start w:val="7"/>
      <w:numFmt w:val="decimal"/>
      <w:lvlText w:val="%1."/>
      <w:lvlJc w:val="left"/>
      <w:pPr>
        <w:tabs>
          <w:tab w:val="num" w:pos="559"/>
        </w:tabs>
        <w:ind w:left="559" w:hanging="360"/>
      </w:pPr>
      <w:rPr>
        <w:rFonts w:hint="default"/>
      </w:rPr>
    </w:lvl>
  </w:abstractNum>
  <w:abstractNum w:abstractNumId="4">
    <w:nsid w:val="2F2F5EEA"/>
    <w:multiLevelType w:val="hybridMultilevel"/>
    <w:tmpl w:val="BA82943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1565F0"/>
    <w:multiLevelType w:val="singleLevel"/>
    <w:tmpl w:val="DF4C158E"/>
    <w:lvl w:ilvl="0">
      <w:start w:val="1"/>
      <w:numFmt w:val="lowerLetter"/>
      <w:lvlText w:val="%1."/>
      <w:lvlJc w:val="left"/>
      <w:pPr>
        <w:tabs>
          <w:tab w:val="num" w:pos="840"/>
        </w:tabs>
        <w:ind w:left="840" w:hanging="360"/>
      </w:pPr>
      <w:rPr>
        <w:rFonts w:hint="default"/>
      </w:rPr>
    </w:lvl>
  </w:abstractNum>
  <w:abstractNum w:abstractNumId="6">
    <w:nsid w:val="3E6572AF"/>
    <w:multiLevelType w:val="singleLevel"/>
    <w:tmpl w:val="ED8237C8"/>
    <w:lvl w:ilvl="0">
      <w:start w:val="7"/>
      <w:numFmt w:val="decimal"/>
      <w:lvlText w:val="%1."/>
      <w:lvlJc w:val="left"/>
      <w:pPr>
        <w:tabs>
          <w:tab w:val="num" w:pos="559"/>
        </w:tabs>
        <w:ind w:left="559" w:hanging="360"/>
      </w:pPr>
      <w:rPr>
        <w:rFonts w:hint="default"/>
      </w:rPr>
    </w:lvl>
  </w:abstractNum>
  <w:abstractNum w:abstractNumId="7">
    <w:nsid w:val="48CD2BDD"/>
    <w:multiLevelType w:val="hybridMultilevel"/>
    <w:tmpl w:val="A1E419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276141"/>
    <w:multiLevelType w:val="hybridMultilevel"/>
    <w:tmpl w:val="6B98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E31C9F"/>
    <w:multiLevelType w:val="hybridMultilevel"/>
    <w:tmpl w:val="BFC20668"/>
    <w:lvl w:ilvl="0" w:tplc="78F49D9A">
      <w:start w:val="4"/>
      <w:numFmt w:val="decimal"/>
      <w:lvlText w:val="%1."/>
      <w:lvlJc w:val="left"/>
      <w:pPr>
        <w:tabs>
          <w:tab w:val="num" w:pos="559"/>
        </w:tabs>
        <w:ind w:left="559" w:hanging="360"/>
      </w:pPr>
      <w:rPr>
        <w:rFonts w:hint="default"/>
      </w:rPr>
    </w:lvl>
    <w:lvl w:ilvl="1" w:tplc="04090019" w:tentative="1">
      <w:start w:val="1"/>
      <w:numFmt w:val="lowerLetter"/>
      <w:lvlText w:val="%2."/>
      <w:lvlJc w:val="left"/>
      <w:pPr>
        <w:tabs>
          <w:tab w:val="num" w:pos="1279"/>
        </w:tabs>
        <w:ind w:left="1279" w:hanging="360"/>
      </w:pPr>
    </w:lvl>
    <w:lvl w:ilvl="2" w:tplc="0409001B" w:tentative="1">
      <w:start w:val="1"/>
      <w:numFmt w:val="lowerRoman"/>
      <w:lvlText w:val="%3."/>
      <w:lvlJc w:val="right"/>
      <w:pPr>
        <w:tabs>
          <w:tab w:val="num" w:pos="1999"/>
        </w:tabs>
        <w:ind w:left="1999" w:hanging="180"/>
      </w:pPr>
    </w:lvl>
    <w:lvl w:ilvl="3" w:tplc="0409000F" w:tentative="1">
      <w:start w:val="1"/>
      <w:numFmt w:val="decimal"/>
      <w:lvlText w:val="%4."/>
      <w:lvlJc w:val="left"/>
      <w:pPr>
        <w:tabs>
          <w:tab w:val="num" w:pos="2719"/>
        </w:tabs>
        <w:ind w:left="2719" w:hanging="360"/>
      </w:pPr>
    </w:lvl>
    <w:lvl w:ilvl="4" w:tplc="04090019" w:tentative="1">
      <w:start w:val="1"/>
      <w:numFmt w:val="lowerLetter"/>
      <w:lvlText w:val="%5."/>
      <w:lvlJc w:val="left"/>
      <w:pPr>
        <w:tabs>
          <w:tab w:val="num" w:pos="3439"/>
        </w:tabs>
        <w:ind w:left="3439" w:hanging="360"/>
      </w:pPr>
    </w:lvl>
    <w:lvl w:ilvl="5" w:tplc="0409001B" w:tentative="1">
      <w:start w:val="1"/>
      <w:numFmt w:val="lowerRoman"/>
      <w:lvlText w:val="%6."/>
      <w:lvlJc w:val="right"/>
      <w:pPr>
        <w:tabs>
          <w:tab w:val="num" w:pos="4159"/>
        </w:tabs>
        <w:ind w:left="4159" w:hanging="180"/>
      </w:pPr>
    </w:lvl>
    <w:lvl w:ilvl="6" w:tplc="0409000F" w:tentative="1">
      <w:start w:val="1"/>
      <w:numFmt w:val="decimal"/>
      <w:lvlText w:val="%7."/>
      <w:lvlJc w:val="left"/>
      <w:pPr>
        <w:tabs>
          <w:tab w:val="num" w:pos="4879"/>
        </w:tabs>
        <w:ind w:left="4879" w:hanging="360"/>
      </w:pPr>
    </w:lvl>
    <w:lvl w:ilvl="7" w:tplc="04090019" w:tentative="1">
      <w:start w:val="1"/>
      <w:numFmt w:val="lowerLetter"/>
      <w:lvlText w:val="%8."/>
      <w:lvlJc w:val="left"/>
      <w:pPr>
        <w:tabs>
          <w:tab w:val="num" w:pos="5599"/>
        </w:tabs>
        <w:ind w:left="5599" w:hanging="360"/>
      </w:pPr>
    </w:lvl>
    <w:lvl w:ilvl="8" w:tplc="0409001B" w:tentative="1">
      <w:start w:val="1"/>
      <w:numFmt w:val="lowerRoman"/>
      <w:lvlText w:val="%9."/>
      <w:lvlJc w:val="right"/>
      <w:pPr>
        <w:tabs>
          <w:tab w:val="num" w:pos="6319"/>
        </w:tabs>
        <w:ind w:left="6319" w:hanging="180"/>
      </w:pPr>
    </w:lvl>
  </w:abstractNum>
  <w:num w:numId="1">
    <w:abstractNumId w:val="1"/>
  </w:num>
  <w:num w:numId="2">
    <w:abstractNumId w:val="6"/>
  </w:num>
  <w:num w:numId="3">
    <w:abstractNumId w:val="5"/>
  </w:num>
  <w:num w:numId="4">
    <w:abstractNumId w:val="3"/>
  </w:num>
  <w:num w:numId="5">
    <w:abstractNumId w:val="9"/>
  </w:num>
  <w:num w:numId="6">
    <w:abstractNumId w:val="7"/>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840"/>
    <w:rsid w:val="00006689"/>
    <w:rsid w:val="0008279F"/>
    <w:rsid w:val="000B6F5F"/>
    <w:rsid w:val="000F0D2A"/>
    <w:rsid w:val="00114705"/>
    <w:rsid w:val="00130840"/>
    <w:rsid w:val="001428C9"/>
    <w:rsid w:val="0016226A"/>
    <w:rsid w:val="00170BF7"/>
    <w:rsid w:val="00171B68"/>
    <w:rsid w:val="001F0078"/>
    <w:rsid w:val="00203FB3"/>
    <w:rsid w:val="002465B0"/>
    <w:rsid w:val="002E20E6"/>
    <w:rsid w:val="0034582D"/>
    <w:rsid w:val="003650A8"/>
    <w:rsid w:val="003B4692"/>
    <w:rsid w:val="003E352C"/>
    <w:rsid w:val="00457A45"/>
    <w:rsid w:val="004A7AF9"/>
    <w:rsid w:val="004D7796"/>
    <w:rsid w:val="005D033B"/>
    <w:rsid w:val="005D14AD"/>
    <w:rsid w:val="005F1914"/>
    <w:rsid w:val="00623AF1"/>
    <w:rsid w:val="006D2C57"/>
    <w:rsid w:val="006E13C2"/>
    <w:rsid w:val="00701918"/>
    <w:rsid w:val="00714AE0"/>
    <w:rsid w:val="00715F01"/>
    <w:rsid w:val="0073233C"/>
    <w:rsid w:val="0073367B"/>
    <w:rsid w:val="0078526C"/>
    <w:rsid w:val="007A1027"/>
    <w:rsid w:val="007D4581"/>
    <w:rsid w:val="00895B20"/>
    <w:rsid w:val="008B0EFE"/>
    <w:rsid w:val="008E36F6"/>
    <w:rsid w:val="008E7623"/>
    <w:rsid w:val="008F511F"/>
    <w:rsid w:val="009210A3"/>
    <w:rsid w:val="009263EF"/>
    <w:rsid w:val="00943799"/>
    <w:rsid w:val="00950EFF"/>
    <w:rsid w:val="009A4ADC"/>
    <w:rsid w:val="009F18E0"/>
    <w:rsid w:val="00A52DEA"/>
    <w:rsid w:val="00A53B46"/>
    <w:rsid w:val="00A92C41"/>
    <w:rsid w:val="00AE333E"/>
    <w:rsid w:val="00B20553"/>
    <w:rsid w:val="00B72EAD"/>
    <w:rsid w:val="00B95FD5"/>
    <w:rsid w:val="00BC1071"/>
    <w:rsid w:val="00BE5AEA"/>
    <w:rsid w:val="00BF3569"/>
    <w:rsid w:val="00C35874"/>
    <w:rsid w:val="00C62524"/>
    <w:rsid w:val="00CB099E"/>
    <w:rsid w:val="00D81C1A"/>
    <w:rsid w:val="00E13FED"/>
    <w:rsid w:val="00E51FB0"/>
    <w:rsid w:val="00E92F53"/>
    <w:rsid w:val="00EA4064"/>
    <w:rsid w:val="00F84CB8"/>
    <w:rsid w:val="00FB393F"/>
    <w:rsid w:val="00FB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widowControl/>
      <w:outlineLvl w:val="0"/>
    </w:pPr>
    <w:rPr>
      <w:rFonts w:ascii="Times New Roman" w:hAnsi="Times New Roman"/>
      <w:b/>
      <w:snapToGrid/>
      <w:sz w:val="24"/>
    </w:rPr>
  </w:style>
  <w:style w:type="paragraph" w:styleId="Heading2">
    <w:name w:val="heading 2"/>
    <w:basedOn w:val="Normal"/>
    <w:next w:val="Normal"/>
    <w:qFormat/>
    <w:pPr>
      <w:keepNext/>
      <w:tabs>
        <w:tab w:val="left" w:pos="480"/>
        <w:tab w:val="left" w:pos="3780"/>
        <w:tab w:val="left" w:pos="7200"/>
      </w:tabs>
      <w:suppressAutoHyphens/>
      <w:ind w:left="199" w:right="-12908"/>
      <w:outlineLvl w:val="1"/>
    </w:pPr>
    <w:rPr>
      <w:rFonts w:ascii="Times New Roman" w:hAnsi="Times New Roman"/>
      <w:i/>
    </w:rPr>
  </w:style>
  <w:style w:type="paragraph" w:styleId="Heading3">
    <w:name w:val="heading 3"/>
    <w:basedOn w:val="Normal"/>
    <w:next w:val="Normal"/>
    <w:qFormat/>
    <w:pPr>
      <w:keepNext/>
      <w:jc w:val="center"/>
      <w:outlineLvl w:val="2"/>
    </w:pPr>
    <w:rPr>
      <w:rFonts w:ascii="CG Omega" w:hAnsi="CG Omega"/>
      <w:b/>
      <w:bCs/>
      <w:sz w:val="22"/>
    </w:rPr>
  </w:style>
  <w:style w:type="paragraph" w:styleId="Heading4">
    <w:name w:val="heading 4"/>
    <w:basedOn w:val="Normal"/>
    <w:next w:val="Normal"/>
    <w:qFormat/>
    <w:pPr>
      <w:keepNext/>
      <w:outlineLvl w:val="3"/>
    </w:pPr>
    <w:rPr>
      <w:rFonts w:ascii="CG Omega" w:hAnsi="CG Omeg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95F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1C1A"/>
    <w:pPr>
      <w:widowControl/>
      <w:spacing w:after="200" w:line="276" w:lineRule="auto"/>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Shawano Medical Center</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Nelson</dc:creator>
  <cp:lastModifiedBy>Midge</cp:lastModifiedBy>
  <cp:revision>2</cp:revision>
  <cp:lastPrinted>2007-06-20T11:53:00Z</cp:lastPrinted>
  <dcterms:created xsi:type="dcterms:W3CDTF">2013-09-20T06:59:00Z</dcterms:created>
  <dcterms:modified xsi:type="dcterms:W3CDTF">2013-09-20T06:59:00Z</dcterms:modified>
</cp:coreProperties>
</file>