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699E" w14:textId="77777777" w:rsidR="00B03F69" w:rsidRDefault="00B03F69">
      <w:pPr>
        <w:pStyle w:val="SpecHead1"/>
        <w:outlineLvl w:val="0"/>
      </w:pPr>
      <w:r>
        <w:t>ITEM #1001001A – TRENCHING AND BACKFILLING</w:t>
      </w:r>
    </w:p>
    <w:p w14:paraId="4A16DF1D" w14:textId="77777777" w:rsidR="00B03F69" w:rsidRDefault="00B03F69"/>
    <w:p w14:paraId="6A7A3A2B" w14:textId="13091AD5" w:rsidR="00B03F69" w:rsidRDefault="00B03F69">
      <w:r w:rsidRPr="003F1D67">
        <w:rPr>
          <w:i/>
        </w:rPr>
        <w:t xml:space="preserve">Section 10.01 </w:t>
      </w:r>
      <w:proofErr w:type="gramStart"/>
      <w:r w:rsidR="00134FB1" w:rsidRPr="003F1D67">
        <w:rPr>
          <w:i/>
        </w:rPr>
        <w:t>is</w:t>
      </w:r>
      <w:r w:rsidR="00DF3A5D" w:rsidRPr="003F1D67">
        <w:rPr>
          <w:i/>
        </w:rPr>
        <w:t xml:space="preserve"> </w:t>
      </w:r>
      <w:r w:rsidRPr="003F1D67">
        <w:rPr>
          <w:i/>
        </w:rPr>
        <w:t>amended</w:t>
      </w:r>
      <w:proofErr w:type="gramEnd"/>
      <w:r w:rsidRPr="003F1D67">
        <w:rPr>
          <w:i/>
        </w:rPr>
        <w:t xml:space="preserve"> as follows:</w:t>
      </w:r>
    </w:p>
    <w:p w14:paraId="6E166D44" w14:textId="77777777" w:rsidR="00B03F69" w:rsidRDefault="00B03F69">
      <w:pPr>
        <w:pStyle w:val="Footer"/>
        <w:widowControl w:val="0"/>
        <w:tabs>
          <w:tab w:val="clear" w:pos="4320"/>
        </w:tabs>
        <w:rPr>
          <w:rFonts w:ascii="Arial" w:hAnsi="Arial"/>
          <w:snapToGrid w:val="0"/>
          <w:sz w:val="24"/>
        </w:rPr>
      </w:pPr>
    </w:p>
    <w:p w14:paraId="75CF68EF" w14:textId="0FAAE2E0" w:rsidR="00E90D85" w:rsidRDefault="00FD5BF9">
      <w:pPr>
        <w:pStyle w:val="SpecHead2"/>
        <w:rPr>
          <w:b w:val="0"/>
          <w:i/>
        </w:rPr>
      </w:pPr>
      <w:r w:rsidRPr="003F1D67">
        <w:t>10.01.01 – Description</w:t>
      </w:r>
      <w:r w:rsidR="00134FB1">
        <w:rPr>
          <w:b w:val="0"/>
        </w:rPr>
        <w:t>:</w:t>
      </w:r>
      <w:r w:rsidR="00134FB1">
        <w:t xml:space="preserve"> </w:t>
      </w:r>
      <w:r w:rsidR="0037204B">
        <w:rPr>
          <w:b w:val="0"/>
          <w:i/>
        </w:rPr>
        <w:t>A</w:t>
      </w:r>
      <w:r w:rsidR="00E90D85" w:rsidRPr="003F1D67">
        <w:rPr>
          <w:b w:val="0"/>
          <w:i/>
        </w:rPr>
        <w:t>dd</w:t>
      </w:r>
      <w:r w:rsidR="00E90D85">
        <w:rPr>
          <w:b w:val="0"/>
          <w:i/>
        </w:rPr>
        <w:t xml:space="preserve"> after the first paragraph:</w:t>
      </w:r>
    </w:p>
    <w:p w14:paraId="65651B27" w14:textId="77777777" w:rsidR="00E90D85" w:rsidRPr="00E90D85" w:rsidRDefault="00E90D85" w:rsidP="00E90D85"/>
    <w:p w14:paraId="6F484785" w14:textId="0BA61923" w:rsidR="00E90D85" w:rsidRPr="00E90D85" w:rsidRDefault="00E90D85" w:rsidP="00E90D85">
      <w:r w:rsidRPr="00E90D85">
        <w:t xml:space="preserve">  Rock, insofar as it applies to trenching and backfilling, </w:t>
      </w:r>
      <w:proofErr w:type="gramStart"/>
      <w:r w:rsidRPr="00E90D85">
        <w:t>shall be defined</w:t>
      </w:r>
      <w:proofErr w:type="gramEnd"/>
      <w:r w:rsidRPr="00E90D85">
        <w:t xml:space="preserve"> as rock in definite ledge formation, boulders, or portions of boulders, cement masonry structures, concrete structures, reinforced concrete pipe, Portland cement concrete pavement or base, of 1/2 </w:t>
      </w:r>
      <w:proofErr w:type="spellStart"/>
      <w:r w:rsidRPr="00E90D85">
        <w:t>c.y</w:t>
      </w:r>
      <w:proofErr w:type="spellEnd"/>
      <w:r w:rsidRPr="00E90D85">
        <w:t>. or more in volume, removed as indicated or directed from within the payment lines for trench excavation.</w:t>
      </w:r>
    </w:p>
    <w:p w14:paraId="15EFB14E" w14:textId="7E1F0384" w:rsidR="00E90D85" w:rsidRDefault="00E90D85">
      <w:pPr>
        <w:pStyle w:val="SpecHead2"/>
      </w:pPr>
    </w:p>
    <w:p w14:paraId="2DF5664E" w14:textId="18B1331E" w:rsidR="00E90D85" w:rsidRPr="00E90D85" w:rsidRDefault="00AA10E6" w:rsidP="00E90D85">
      <w:pPr>
        <w:pStyle w:val="SpecHead2"/>
        <w:rPr>
          <w:b w:val="0"/>
        </w:rPr>
      </w:pPr>
      <w:r w:rsidRPr="003F1D67">
        <w:rPr>
          <w:b w:val="0"/>
          <w:i/>
        </w:rPr>
        <w:t>Revise the</w:t>
      </w:r>
      <w:r w:rsidR="00FD5BF9" w:rsidRPr="003F1D67">
        <w:rPr>
          <w:b w:val="0"/>
          <w:i/>
        </w:rPr>
        <w:t xml:space="preserve"> third paragraph</w:t>
      </w:r>
      <w:r w:rsidR="00134FB1" w:rsidRPr="003F1D67">
        <w:rPr>
          <w:b w:val="0"/>
          <w:i/>
        </w:rPr>
        <w:t xml:space="preserve"> to</w:t>
      </w:r>
      <w:r w:rsidR="00FD5BF9" w:rsidRPr="003F1D67">
        <w:rPr>
          <w:b w:val="0"/>
          <w:i/>
        </w:rPr>
        <w:t xml:space="preserve"> </w:t>
      </w:r>
      <w:r w:rsidR="00E90D85" w:rsidRPr="003F1D67">
        <w:rPr>
          <w:b w:val="0"/>
          <w:i/>
        </w:rPr>
        <w:t>add</w:t>
      </w:r>
      <w:r w:rsidR="00E90D85">
        <w:rPr>
          <w:b w:val="0"/>
        </w:rPr>
        <w:t>:</w:t>
      </w:r>
    </w:p>
    <w:p w14:paraId="6D6ACE40" w14:textId="06D6DAD0" w:rsidR="00FD5BF9" w:rsidRDefault="00DF3A5D">
      <w:pPr>
        <w:pStyle w:val="SpecHead2"/>
        <w:rPr>
          <w:b w:val="0"/>
        </w:rPr>
      </w:pPr>
      <w:r>
        <w:rPr>
          <w:b w:val="0"/>
        </w:rPr>
        <w:t>“</w:t>
      </w:r>
      <w:proofErr w:type="gramStart"/>
      <w:r>
        <w:rPr>
          <w:b w:val="0"/>
        </w:rPr>
        <w:t>processed</w:t>
      </w:r>
      <w:proofErr w:type="gramEnd"/>
      <w:r>
        <w:rPr>
          <w:b w:val="0"/>
        </w:rPr>
        <w:t xml:space="preserve"> aggregate base,</w:t>
      </w:r>
      <w:r w:rsidR="003F1D67">
        <w:rPr>
          <w:b w:val="0"/>
        </w:rPr>
        <w:t xml:space="preserve"> granular </w:t>
      </w:r>
      <w:r w:rsidR="00AA10E6">
        <w:rPr>
          <w:b w:val="0"/>
        </w:rPr>
        <w:t>fill</w:t>
      </w:r>
      <w:r w:rsidR="003F1D67">
        <w:rPr>
          <w:b w:val="0"/>
        </w:rPr>
        <w:t>, suitable backfill material</w:t>
      </w:r>
      <w:r>
        <w:rPr>
          <w:b w:val="0"/>
        </w:rPr>
        <w:t>”</w:t>
      </w:r>
      <w:r w:rsidR="00134FB1">
        <w:rPr>
          <w:b w:val="0"/>
        </w:rPr>
        <w:t xml:space="preserve"> after “crushed stone”.</w:t>
      </w:r>
    </w:p>
    <w:p w14:paraId="35775387" w14:textId="77777777" w:rsidR="00FD5BF9" w:rsidRPr="00FD5BF9" w:rsidRDefault="00FD5BF9" w:rsidP="003F1D67"/>
    <w:p w14:paraId="3DCC39A2" w14:textId="658B1AB8" w:rsidR="00A55E73" w:rsidRDefault="00A55E73">
      <w:pPr>
        <w:pStyle w:val="SpecHead2"/>
        <w:rPr>
          <w:b w:val="0"/>
        </w:rPr>
      </w:pPr>
      <w:r w:rsidRPr="003F1D67">
        <w:t>10.01.02 – Materials</w:t>
      </w:r>
      <w:r w:rsidR="00134FB1">
        <w:t xml:space="preserve">: </w:t>
      </w:r>
      <w:r>
        <w:rPr>
          <w:b w:val="0"/>
        </w:rPr>
        <w:t xml:space="preserve"> </w:t>
      </w:r>
      <w:r w:rsidR="00134FB1">
        <w:rPr>
          <w:b w:val="0"/>
        </w:rPr>
        <w:t>A</w:t>
      </w:r>
      <w:r w:rsidRPr="003F1D67">
        <w:rPr>
          <w:b w:val="0"/>
          <w:i/>
        </w:rPr>
        <w:t>dd the following</w:t>
      </w:r>
      <w:r>
        <w:rPr>
          <w:b w:val="0"/>
        </w:rPr>
        <w:t>:</w:t>
      </w:r>
    </w:p>
    <w:p w14:paraId="5ECBE2A7" w14:textId="77777777" w:rsidR="00A55E73" w:rsidRDefault="00A55E73" w:rsidP="00A55E73"/>
    <w:p w14:paraId="4EC30299" w14:textId="78AA8E7E" w:rsidR="00A55E73" w:rsidRDefault="00A55E73" w:rsidP="003F1D67">
      <w:pPr>
        <w:ind w:left="720"/>
      </w:pPr>
      <w:r>
        <w:t xml:space="preserve">Processed Aggregate Base shall </w:t>
      </w:r>
      <w:r w:rsidR="00134FB1">
        <w:t>be as specified</w:t>
      </w:r>
      <w:r>
        <w:t xml:space="preserve"> </w:t>
      </w:r>
      <w:r w:rsidR="00134FB1">
        <w:t>in</w:t>
      </w:r>
      <w:r w:rsidR="003F1D67">
        <w:t xml:space="preserve"> </w:t>
      </w:r>
      <w:r>
        <w:t>M.05.01</w:t>
      </w:r>
      <w:r w:rsidR="00134FB1">
        <w:t>.</w:t>
      </w:r>
    </w:p>
    <w:p w14:paraId="422965B2" w14:textId="30F25968" w:rsidR="00AA10E6" w:rsidRDefault="00AA10E6" w:rsidP="003F1D67">
      <w:pPr>
        <w:ind w:left="720"/>
      </w:pPr>
      <w:r>
        <w:t xml:space="preserve">Granular fill </w:t>
      </w:r>
      <w:proofErr w:type="gramStart"/>
      <w:r>
        <w:t>shall be specified</w:t>
      </w:r>
      <w:proofErr w:type="gramEnd"/>
      <w:r>
        <w:t xml:space="preserve"> in M.02.01</w:t>
      </w:r>
    </w:p>
    <w:p w14:paraId="2A4790EF" w14:textId="77777777" w:rsidR="00A55E73" w:rsidRDefault="00A55E73" w:rsidP="003F1D67">
      <w:pPr>
        <w:ind w:left="720"/>
      </w:pPr>
    </w:p>
    <w:p w14:paraId="168FE323" w14:textId="77777777" w:rsidR="00A55E73" w:rsidRDefault="00A55E73">
      <w:pPr>
        <w:pStyle w:val="SpecHead2"/>
        <w:rPr>
          <w:b w:val="0"/>
        </w:rPr>
      </w:pPr>
    </w:p>
    <w:p w14:paraId="2909860A" w14:textId="11CBD693" w:rsidR="00B03F69" w:rsidRDefault="00B03F69">
      <w:pPr>
        <w:pStyle w:val="SpecHead2"/>
      </w:pPr>
      <w:r>
        <w:rPr>
          <w:b w:val="0"/>
        </w:rPr>
        <w:t xml:space="preserve"> </w:t>
      </w:r>
      <w:r w:rsidR="008327CC" w:rsidRPr="003F1D67">
        <w:t>10.01.03 – Construction Methods:</w:t>
      </w:r>
      <w:r>
        <w:rPr>
          <w:b w:val="0"/>
        </w:rPr>
        <w:t xml:space="preserve"> </w:t>
      </w:r>
      <w:r w:rsidR="008327CC" w:rsidRPr="003F1D67">
        <w:rPr>
          <w:b w:val="0"/>
          <w:i/>
        </w:rPr>
        <w:t>R</w:t>
      </w:r>
      <w:r w:rsidR="00D739EF" w:rsidRPr="003F1D67">
        <w:rPr>
          <w:b w:val="0"/>
          <w:i/>
        </w:rPr>
        <w:t>eplace the fourth paragraph with the following</w:t>
      </w:r>
      <w:r w:rsidRPr="003F1D67">
        <w:rPr>
          <w:b w:val="0"/>
          <w:i/>
        </w:rPr>
        <w:t>:</w:t>
      </w:r>
    </w:p>
    <w:p w14:paraId="6D67FCAE" w14:textId="77777777" w:rsidR="00B03F69" w:rsidRDefault="00B03F69">
      <w:pPr>
        <w:tabs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</w:pPr>
    </w:p>
    <w:p w14:paraId="267E79A5" w14:textId="2A8C9C66" w:rsidR="00B03F69" w:rsidRDefault="00BE6A6A">
      <w:r>
        <w:t xml:space="preserve">   </w:t>
      </w:r>
      <w:proofErr w:type="gramStart"/>
      <w:r w:rsidRPr="00BE6A6A">
        <w:t>Where trenching occurs in riprap or crushed stone areas,</w:t>
      </w:r>
      <w:proofErr w:type="gramEnd"/>
      <w:r w:rsidRPr="00BE6A6A">
        <w:t xml:space="preserve"> the surface material shall be replaced in kind.  Where trenching in bituminous concrete sidewalk or paved areas, the trench shall be </w:t>
      </w:r>
      <w:proofErr w:type="spellStart"/>
      <w:r w:rsidRPr="00BE6A6A">
        <w:t>sawcut</w:t>
      </w:r>
      <w:proofErr w:type="spellEnd"/>
      <w:r w:rsidRPr="00BE6A6A">
        <w:t xml:space="preserve"> and backfilled to within the depth from the surface required to replace the removed sidewalk or pavement structure, which </w:t>
      </w:r>
      <w:proofErr w:type="gramStart"/>
      <w:r w:rsidRPr="00BE6A6A">
        <w:t>shall then be replaced</w:t>
      </w:r>
      <w:proofErr w:type="gramEnd"/>
      <w:r w:rsidRPr="00BE6A6A">
        <w:t xml:space="preserve">. Suitable backfill material and granular fill </w:t>
      </w:r>
      <w:proofErr w:type="gramStart"/>
      <w:r w:rsidRPr="00BE6A6A">
        <w:t>shall be used</w:t>
      </w:r>
      <w:proofErr w:type="gramEnd"/>
      <w:r w:rsidRPr="00BE6A6A">
        <w:t xml:space="preserve"> for sidewalks and processed aggregate base shall be used as backfill material for pavement or bituminous concrete surfaces.  The edges of all trenches in paved surfaces shall be </w:t>
      </w:r>
      <w:proofErr w:type="spellStart"/>
      <w:r w:rsidRPr="00BE6A6A">
        <w:t>sawcut</w:t>
      </w:r>
      <w:proofErr w:type="spellEnd"/>
      <w:r w:rsidRPr="00BE6A6A">
        <w:t xml:space="preserve"> to neat lines prior to paving.  All trenches in existing paved surfaces, which parallel the curb, shall be no more than 1 1/2 feet from </w:t>
      </w:r>
      <w:proofErr w:type="gramStart"/>
      <w:r w:rsidRPr="00BE6A6A">
        <w:t>the curb, or when no curb is present</w:t>
      </w:r>
      <w:proofErr w:type="gramEnd"/>
      <w:r w:rsidRPr="00BE6A6A">
        <w:t>, the apparent edge of road.  The exception shall be to avoid existing appurtenances such as catch basins, water gates, manholes etc.</w:t>
      </w:r>
    </w:p>
    <w:p w14:paraId="6F58BAE3" w14:textId="3A067B65" w:rsidR="0037204B" w:rsidRDefault="0037204B"/>
    <w:p w14:paraId="25B89EF2" w14:textId="543D7337" w:rsidR="0037204B" w:rsidRDefault="0037204B">
      <w:pPr>
        <w:rPr>
          <w:bCs/>
          <w:i/>
        </w:rPr>
      </w:pPr>
      <w:r w:rsidRPr="0037204B">
        <w:rPr>
          <w:b/>
          <w:bCs/>
        </w:rPr>
        <w:t>10.01.04—Method of Measurement:</w:t>
      </w:r>
      <w:r>
        <w:rPr>
          <w:b/>
          <w:bCs/>
        </w:rPr>
        <w:t xml:space="preserve"> </w:t>
      </w:r>
      <w:r w:rsidR="0095554C">
        <w:rPr>
          <w:bCs/>
          <w:i/>
        </w:rPr>
        <w:t>Replace the second sentence with the following:</w:t>
      </w:r>
    </w:p>
    <w:p w14:paraId="0A7B2142" w14:textId="30B7A384" w:rsidR="0037204B" w:rsidRDefault="0037204B">
      <w:pPr>
        <w:rPr>
          <w:bCs/>
          <w:i/>
        </w:rPr>
      </w:pPr>
    </w:p>
    <w:p w14:paraId="1008BDD2" w14:textId="69D2374F" w:rsidR="0037204B" w:rsidRPr="0037204B" w:rsidRDefault="0037204B">
      <w:r w:rsidRPr="0037204B">
        <w:t xml:space="preserve">If rock, conforming to the description given under 10.01.01, </w:t>
      </w:r>
      <w:proofErr w:type="gramStart"/>
      <w:r w:rsidRPr="0037204B">
        <w:t>is encountered</w:t>
      </w:r>
      <w:proofErr w:type="gramEnd"/>
      <w:r w:rsidRPr="0037204B">
        <w:t>, the Contractor shall strip it of sufficient overlying material to allow for proper measurement, and shall notify the Engineer that the rock surface is ready for measurement.</w:t>
      </w:r>
    </w:p>
    <w:p w14:paraId="69E0C25D" w14:textId="77777777" w:rsidR="00B03F69" w:rsidRDefault="00B03F69"/>
    <w:p w14:paraId="6E8D4F76" w14:textId="3710EE7F" w:rsidR="00B03F69" w:rsidRDefault="00B03F69">
      <w:r w:rsidRPr="003F1D67">
        <w:rPr>
          <w:b/>
        </w:rPr>
        <w:t>10.01.05 -- Basis of Payment:</w:t>
      </w:r>
      <w:r>
        <w:t xml:space="preserve"> </w:t>
      </w:r>
      <w:r w:rsidRPr="003F1D67">
        <w:rPr>
          <w:i/>
        </w:rPr>
        <w:t>Replace the seco</w:t>
      </w:r>
      <w:r w:rsidR="00D739EF" w:rsidRPr="003F1D67">
        <w:rPr>
          <w:i/>
        </w:rPr>
        <w:t xml:space="preserve">nd paragraph with the following </w:t>
      </w:r>
    </w:p>
    <w:p w14:paraId="3E2E4E5D" w14:textId="77777777" w:rsidR="00B03F69" w:rsidRDefault="00B03F69"/>
    <w:p w14:paraId="577F3B46" w14:textId="6E04AA2B" w:rsidR="00B03F69" w:rsidRDefault="00BE6A6A" w:rsidP="00BE6A6A">
      <w:pPr>
        <w:ind w:left="180"/>
      </w:pPr>
      <w:r w:rsidRPr="00BE6A6A">
        <w:t xml:space="preserve">  It shall also include all sand encasement, suitable backfill materia</w:t>
      </w:r>
      <w:bookmarkStart w:id="0" w:name="_GoBack"/>
      <w:bookmarkEnd w:id="0"/>
      <w:r w:rsidRPr="00BE6A6A">
        <w:t xml:space="preserve">l, processed aggregate base, granular fill, backfilling, grading, seeding, fertilizing, mulching, clean-up and disposal of surplus </w:t>
      </w:r>
      <w:r w:rsidRPr="00BE6A6A">
        <w:lastRenderedPageBreak/>
        <w:t xml:space="preserve">material, </w:t>
      </w:r>
      <w:proofErr w:type="spellStart"/>
      <w:r w:rsidRPr="00BE6A6A">
        <w:t>sawcutting</w:t>
      </w:r>
      <w:proofErr w:type="spellEnd"/>
      <w:r w:rsidRPr="00BE6A6A">
        <w:t xml:space="preserve"> sidewalks and paved areas, as well as furnishing and installing curbing, riprap, crushed stone, topsoil, sidewalk, pavement or structure, as the case may be.</w:t>
      </w:r>
    </w:p>
    <w:p w14:paraId="4401151A" w14:textId="78936C6B" w:rsidR="0037204B" w:rsidRDefault="0037204B" w:rsidP="00BE6A6A">
      <w:pPr>
        <w:ind w:left="180"/>
      </w:pPr>
    </w:p>
    <w:p w14:paraId="4AB34D3E" w14:textId="1EF35806" w:rsidR="0037204B" w:rsidRPr="0037204B" w:rsidRDefault="0037204B" w:rsidP="00BE6A6A">
      <w:pPr>
        <w:ind w:left="180"/>
        <w:rPr>
          <w:i/>
        </w:rPr>
      </w:pPr>
      <w:r>
        <w:rPr>
          <w:i/>
        </w:rPr>
        <w:t>Replace the third paragraph with the following and remove the fourth paragraph entirely:</w:t>
      </w:r>
    </w:p>
    <w:p w14:paraId="7CB57FF1" w14:textId="59FA3237" w:rsidR="0037204B" w:rsidRDefault="0037204B" w:rsidP="00BE6A6A">
      <w:pPr>
        <w:ind w:left="180"/>
      </w:pPr>
    </w:p>
    <w:p w14:paraId="6E6556F2" w14:textId="2768795D" w:rsidR="0037204B" w:rsidRDefault="0037204B" w:rsidP="00BE6A6A">
      <w:pPr>
        <w:ind w:left="180"/>
      </w:pPr>
      <w:r w:rsidRPr="0037204B">
        <w:t xml:space="preserve">When rock, conforming to the description given under 10.01.01 </w:t>
      </w:r>
      <w:proofErr w:type="gramStart"/>
      <w:r w:rsidRPr="0037204B">
        <w:t>is encountered</w:t>
      </w:r>
      <w:proofErr w:type="gramEnd"/>
      <w:r w:rsidRPr="0037204B">
        <w:t xml:space="preserve"> within the limits of trenching, its removal will be classified; and the accepted quantities of rock in trench excavation will be paid for at the Contract unit price per cubic yard for "Rock in Trench Excavation."  In the absence of a “Rock in Trench Excavation” item, the work </w:t>
      </w:r>
      <w:proofErr w:type="gramStart"/>
      <w:r w:rsidRPr="0037204B">
        <w:t>will be compensated</w:t>
      </w:r>
      <w:proofErr w:type="gramEnd"/>
      <w:r w:rsidRPr="0037204B">
        <w:t xml:space="preserve"> as extra work.</w:t>
      </w:r>
    </w:p>
    <w:sectPr w:rsidR="0037204B">
      <w:headerReference w:type="default" r:id="rId8"/>
      <w:footerReference w:type="default" r:id="rId9"/>
      <w:pgSz w:w="12240" w:h="15840"/>
      <w:pgMar w:top="2160" w:right="1440" w:bottom="1080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285FB" w14:textId="77777777" w:rsidR="000F353E" w:rsidRDefault="000F353E">
      <w:r>
        <w:separator/>
      </w:r>
    </w:p>
  </w:endnote>
  <w:endnote w:type="continuationSeparator" w:id="0">
    <w:p w14:paraId="623B9CE4" w14:textId="77777777" w:rsidR="000F353E" w:rsidRDefault="000F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49D78" w14:textId="77777777" w:rsidR="00B03F69" w:rsidRDefault="00B03F69">
    <w:pPr>
      <w:pStyle w:val="Footer"/>
    </w:pPr>
    <w:r>
      <w:fldChar w:fldCharType="begin"/>
    </w:r>
    <w:r>
      <w:instrText xml:space="preserve"> COMMENTS  \* MERGEFORMAT </w:instrText>
    </w:r>
    <w:r>
      <w:fldChar w:fldCharType="end"/>
    </w:r>
    <w:r>
      <w:tab/>
    </w:r>
    <w:r>
      <w:rPr>
        <w:rStyle w:val="PageNumber"/>
      </w:rPr>
      <w:tab/>
      <w:t>item #1001001A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E9608" w14:textId="77777777" w:rsidR="000F353E" w:rsidRDefault="000F353E">
      <w:r>
        <w:separator/>
      </w:r>
    </w:p>
  </w:footnote>
  <w:footnote w:type="continuationSeparator" w:id="0">
    <w:p w14:paraId="785F0831" w14:textId="77777777" w:rsidR="000F353E" w:rsidRDefault="000F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2B2C0" w14:textId="1C01E1D8" w:rsidR="006F3382" w:rsidRDefault="006102D8" w:rsidP="006F3382">
    <w:pPr>
      <w:pStyle w:val="Header"/>
      <w:jc w:val="right"/>
    </w:pPr>
    <w:r>
      <w:t xml:space="preserve">Rev. </w:t>
    </w:r>
    <w:r w:rsidR="000B05FA">
      <w:t>06</w:t>
    </w:r>
    <w:r w:rsidR="00F22622">
      <w:t>/</w:t>
    </w:r>
    <w:r w:rsidR="00D739EF">
      <w:t>19</w:t>
    </w:r>
  </w:p>
  <w:p w14:paraId="250033A3" w14:textId="77777777" w:rsidR="00F22622" w:rsidRDefault="00F22622" w:rsidP="006F338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5FE7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193D37"/>
    <w:multiLevelType w:val="multilevel"/>
    <w:tmpl w:val="26AC0E9E"/>
    <w:lvl w:ilvl="0">
      <w:start w:val="1"/>
      <w:numFmt w:val="lowerLetter"/>
      <w:lvlText w:val="(%1)"/>
      <w:lvlJc w:val="left"/>
      <w:pPr>
        <w:tabs>
          <w:tab w:val="num" w:pos="1512"/>
        </w:tabs>
        <w:ind w:left="1512" w:hanging="792"/>
      </w:pPr>
    </w:lvl>
    <w:lvl w:ilvl="1">
      <w:start w:val="1"/>
      <w:numFmt w:val="decimal"/>
      <w:lvlText w:val="(%2)"/>
      <w:lvlJc w:val="left"/>
      <w:pPr>
        <w:tabs>
          <w:tab w:val="num" w:pos="2232"/>
        </w:tabs>
        <w:ind w:left="2232" w:hanging="792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051163F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D48061B"/>
    <w:multiLevelType w:val="singleLevel"/>
    <w:tmpl w:val="C728D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C37345"/>
    <w:multiLevelType w:val="singleLevel"/>
    <w:tmpl w:val="7B005272"/>
    <w:lvl w:ilvl="0">
      <w:start w:val="1200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Verdana" w:hint="default"/>
        <w:sz w:val="28"/>
      </w:rPr>
    </w:lvl>
  </w:abstractNum>
  <w:abstractNum w:abstractNumId="5" w15:restartNumberingAfterBreak="0">
    <w:nsid w:val="3C221A6A"/>
    <w:multiLevelType w:val="singleLevel"/>
    <w:tmpl w:val="238C003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263D00"/>
    <w:multiLevelType w:val="singleLevel"/>
    <w:tmpl w:val="77B83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92532B9"/>
    <w:multiLevelType w:val="singleLevel"/>
    <w:tmpl w:val="DA5EE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D705453"/>
    <w:multiLevelType w:val="singleLevel"/>
    <w:tmpl w:val="1018A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764B74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69"/>
    <w:rsid w:val="000100D4"/>
    <w:rsid w:val="000122CF"/>
    <w:rsid w:val="00063992"/>
    <w:rsid w:val="000711FE"/>
    <w:rsid w:val="00082075"/>
    <w:rsid w:val="000B05FA"/>
    <w:rsid w:val="000D0497"/>
    <w:rsid w:val="000F353E"/>
    <w:rsid w:val="00134FB1"/>
    <w:rsid w:val="0016605D"/>
    <w:rsid w:val="001E7171"/>
    <w:rsid w:val="001F147E"/>
    <w:rsid w:val="001F37EB"/>
    <w:rsid w:val="00230550"/>
    <w:rsid w:val="002C689B"/>
    <w:rsid w:val="00310806"/>
    <w:rsid w:val="003547E0"/>
    <w:rsid w:val="0036197E"/>
    <w:rsid w:val="0037204B"/>
    <w:rsid w:val="00395929"/>
    <w:rsid w:val="003F1D67"/>
    <w:rsid w:val="00424A1E"/>
    <w:rsid w:val="004378D0"/>
    <w:rsid w:val="00486FD9"/>
    <w:rsid w:val="004C459F"/>
    <w:rsid w:val="0050720E"/>
    <w:rsid w:val="00526D44"/>
    <w:rsid w:val="00552AC3"/>
    <w:rsid w:val="005B0D3D"/>
    <w:rsid w:val="005C6B52"/>
    <w:rsid w:val="005E2D88"/>
    <w:rsid w:val="005F6ACB"/>
    <w:rsid w:val="006102D8"/>
    <w:rsid w:val="00645DA2"/>
    <w:rsid w:val="00653BAF"/>
    <w:rsid w:val="006F3382"/>
    <w:rsid w:val="0072306E"/>
    <w:rsid w:val="0074270F"/>
    <w:rsid w:val="00745BC4"/>
    <w:rsid w:val="00746F39"/>
    <w:rsid w:val="00763FB6"/>
    <w:rsid w:val="007A3738"/>
    <w:rsid w:val="007F1A69"/>
    <w:rsid w:val="007F2A1C"/>
    <w:rsid w:val="008327CC"/>
    <w:rsid w:val="00880ED2"/>
    <w:rsid w:val="008A48E6"/>
    <w:rsid w:val="008C4757"/>
    <w:rsid w:val="00927440"/>
    <w:rsid w:val="00946FE1"/>
    <w:rsid w:val="0095554C"/>
    <w:rsid w:val="009A41AA"/>
    <w:rsid w:val="009C4F13"/>
    <w:rsid w:val="009E1C45"/>
    <w:rsid w:val="009F2564"/>
    <w:rsid w:val="00A40E5B"/>
    <w:rsid w:val="00A55E73"/>
    <w:rsid w:val="00A7220B"/>
    <w:rsid w:val="00A76061"/>
    <w:rsid w:val="00A94137"/>
    <w:rsid w:val="00AA10E6"/>
    <w:rsid w:val="00AD71AB"/>
    <w:rsid w:val="00AE4E0C"/>
    <w:rsid w:val="00B02EE8"/>
    <w:rsid w:val="00B03F69"/>
    <w:rsid w:val="00B239AA"/>
    <w:rsid w:val="00B87295"/>
    <w:rsid w:val="00BB7DD4"/>
    <w:rsid w:val="00BC043D"/>
    <w:rsid w:val="00BE6A6A"/>
    <w:rsid w:val="00C07B8D"/>
    <w:rsid w:val="00C36823"/>
    <w:rsid w:val="00C838AE"/>
    <w:rsid w:val="00CB71DF"/>
    <w:rsid w:val="00CC7EE1"/>
    <w:rsid w:val="00CF19F0"/>
    <w:rsid w:val="00D173BC"/>
    <w:rsid w:val="00D2298D"/>
    <w:rsid w:val="00D32F3A"/>
    <w:rsid w:val="00D471E5"/>
    <w:rsid w:val="00D522CF"/>
    <w:rsid w:val="00D675F8"/>
    <w:rsid w:val="00D739EF"/>
    <w:rsid w:val="00DF3A5D"/>
    <w:rsid w:val="00E55844"/>
    <w:rsid w:val="00E66F91"/>
    <w:rsid w:val="00E717F9"/>
    <w:rsid w:val="00E82AE9"/>
    <w:rsid w:val="00E90D85"/>
    <w:rsid w:val="00EA5EAC"/>
    <w:rsid w:val="00EB4500"/>
    <w:rsid w:val="00EF1D8F"/>
    <w:rsid w:val="00F130DF"/>
    <w:rsid w:val="00F22622"/>
    <w:rsid w:val="00F46D52"/>
    <w:rsid w:val="00F60DFD"/>
    <w:rsid w:val="00FB75F6"/>
    <w:rsid w:val="00FC66D1"/>
    <w:rsid w:val="00FD5BF9"/>
    <w:rsid w:val="00FD7C20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7FABD"/>
  <w15:chartTrackingRefBased/>
  <w15:docId w15:val="{6E566016-F00D-4CFC-86EE-95FEA355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rFonts w:ascii="Arial" w:hAnsi="Arial"/>
      <w:b/>
      <w:snapToGrid w:val="0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9360"/>
      </w:tabs>
    </w:pPr>
    <w:rPr>
      <w:caps/>
      <w:sz w:val="20"/>
    </w:rPr>
  </w:style>
  <w:style w:type="character" w:styleId="PageNumber">
    <w:name w:val="page number"/>
    <w:basedOn w:val="DefaultParagraphFont"/>
  </w:style>
  <w:style w:type="paragraph" w:customStyle="1" w:styleId="SpecHead2">
    <w:name w:val="SpecHead2"/>
    <w:basedOn w:val="Normal"/>
    <w:next w:val="Normal"/>
    <w:rPr>
      <w:b/>
    </w:rPr>
  </w:style>
  <w:style w:type="paragraph" w:styleId="Header">
    <w:name w:val="header"/>
    <w:basedOn w:val="Normal"/>
    <w:pPr>
      <w:tabs>
        <w:tab w:val="center" w:pos="4320"/>
        <w:tab w:val="center" w:pos="9360"/>
      </w:tabs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customStyle="1" w:styleId="SpecHead1">
    <w:name w:val="SpecHead1"/>
    <w:basedOn w:val="Normal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pPr>
      <w:jc w:val="right"/>
    </w:pPr>
    <w:rPr>
      <w:sz w:val="20"/>
    </w:rPr>
  </w:style>
  <w:style w:type="character" w:styleId="CommentReference">
    <w:name w:val="annotation reference"/>
    <w:rsid w:val="00D675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5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75F8"/>
  </w:style>
  <w:style w:type="paragraph" w:styleId="CommentSubject">
    <w:name w:val="annotation subject"/>
    <w:basedOn w:val="CommentText"/>
    <w:next w:val="CommentText"/>
    <w:link w:val="CommentSubjectChar"/>
    <w:rsid w:val="00D675F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D675F8"/>
    <w:rPr>
      <w:b/>
      <w:bCs/>
    </w:rPr>
  </w:style>
  <w:style w:type="paragraph" w:styleId="BalloonText">
    <w:name w:val="Balloon Text"/>
    <w:basedOn w:val="Normal"/>
    <w:link w:val="BalloonTextChar"/>
    <w:rsid w:val="00D675F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675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F2A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ccounting\Raiola%20Web\Special%20Provis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85BE-E3CB-4B2D-B027-01F72EE6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 Provision template.dot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#1001001A – TRENCHING AND BACKFILLING</vt:lpstr>
    </vt:vector>
  </TitlesOfParts>
  <Company>State of Connecticut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#1001001A – TRENCHING AND BACKFILLING</dc:title>
  <dc:subject/>
  <dc:creator>Valued Gateway Customer</dc:creator>
  <cp:keywords/>
  <cp:lastModifiedBy>Rodriguez, Jesus M.</cp:lastModifiedBy>
  <cp:revision>2</cp:revision>
  <cp:lastPrinted>2015-08-11T14:13:00Z</cp:lastPrinted>
  <dcterms:created xsi:type="dcterms:W3CDTF">2019-06-27T17:48:00Z</dcterms:created>
  <dcterms:modified xsi:type="dcterms:W3CDTF">2019-06-27T17:48:00Z</dcterms:modified>
  <cp:category>ContractChecked_09/23/2003</cp:category>
</cp:coreProperties>
</file>