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15B" w:rsidRPr="00E3715B" w:rsidRDefault="00E3715B" w:rsidP="00E3715B">
      <w:pPr>
        <w:jc w:val="center"/>
        <w:rPr>
          <w:rFonts w:ascii="Tahoma" w:hAnsi="Tahoma" w:cs="Tahoma"/>
          <w:b/>
          <w:sz w:val="28"/>
          <w:szCs w:val="28"/>
        </w:rPr>
      </w:pPr>
      <w:r w:rsidRPr="00E3715B">
        <w:rPr>
          <w:rFonts w:ascii="Tahoma" w:hAnsi="Tahoma" w:cs="Tahoma"/>
          <w:b/>
          <w:sz w:val="28"/>
          <w:szCs w:val="28"/>
        </w:rPr>
        <w:t>Housing for Economic Growth Program Implementation Policy</w:t>
      </w:r>
    </w:p>
    <w:p w:rsidR="00E3715B" w:rsidRPr="00E3715B" w:rsidRDefault="00E3715B" w:rsidP="00E3715B">
      <w:pPr>
        <w:pStyle w:val="MessageHeader"/>
        <w:spacing w:after="0" w:line="240" w:lineRule="auto"/>
        <w:jc w:val="center"/>
        <w:rPr>
          <w:rStyle w:val="MessageHeaderLabel"/>
          <w:rFonts w:ascii="Tahoma" w:hAnsi="Tahoma" w:cs="Tahoma"/>
          <w:sz w:val="22"/>
          <w:szCs w:val="22"/>
        </w:rPr>
      </w:pPr>
    </w:p>
    <w:p w:rsidR="00E3715B" w:rsidRPr="00E3715B" w:rsidRDefault="00E3715B" w:rsidP="00E3715B">
      <w:pPr>
        <w:jc w:val="center"/>
        <w:rPr>
          <w:rStyle w:val="MessageHeaderLabel"/>
          <w:rFonts w:ascii="Tahoma" w:hAnsi="Tahoma" w:cs="Tahoma"/>
          <w:sz w:val="22"/>
        </w:rPr>
      </w:pPr>
      <w:r>
        <w:rPr>
          <w:rStyle w:val="MessageHeaderLabel"/>
          <w:rFonts w:ascii="Tahoma" w:hAnsi="Tahoma" w:cs="Tahoma"/>
          <w:sz w:val="22"/>
        </w:rPr>
        <w:t>CGS Section 8-13(m-x)</w:t>
      </w:r>
    </w:p>
    <w:p w:rsidR="00417D22" w:rsidRDefault="00417D22" w:rsidP="00E3715B">
      <w:pPr>
        <w:rPr>
          <w:rFonts w:ascii="Tahoma" w:hAnsi="Tahoma" w:cs="Tahoma"/>
        </w:rPr>
      </w:pPr>
    </w:p>
    <w:p w:rsidR="00E3715B" w:rsidRPr="00E3715B" w:rsidRDefault="00F469A5" w:rsidP="00E3715B">
      <w:pPr>
        <w:rPr>
          <w:rFonts w:ascii="Tahoma" w:hAnsi="Tahoma" w:cs="Tahoma"/>
        </w:rPr>
      </w:pPr>
      <w:r>
        <w:t>DOH</w:t>
      </w:r>
      <w:r w:rsidR="00417D22">
        <w:rPr>
          <w:rFonts w:ascii="Tahoma" w:hAnsi="Tahoma" w:cs="Tahoma"/>
        </w:rPr>
        <w:t xml:space="preserve"> will use the following criteria to disperse funding from the Housing for Economic Growth Program (aka HomeCT</w:t>
      </w:r>
      <w:r w:rsidR="00C6109A">
        <w:rPr>
          <w:rFonts w:ascii="Tahoma" w:hAnsi="Tahoma" w:cs="Tahoma"/>
        </w:rPr>
        <w:t>)</w:t>
      </w:r>
      <w:r w:rsidR="00417D22">
        <w:rPr>
          <w:rFonts w:ascii="Tahoma" w:hAnsi="Tahoma" w:cs="Tahoma"/>
        </w:rPr>
        <w:t>.</w:t>
      </w:r>
    </w:p>
    <w:p w:rsidR="00417D22" w:rsidRDefault="00417D22" w:rsidP="00E3715B">
      <w:pPr>
        <w:rPr>
          <w:rFonts w:ascii="Tahoma" w:hAnsi="Tahoma" w:cs="Tahoma"/>
          <w:b/>
        </w:rPr>
      </w:pPr>
    </w:p>
    <w:p w:rsidR="00E3715B" w:rsidRPr="000F77EE" w:rsidRDefault="00F72512" w:rsidP="00E3715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$1.0 million</w:t>
      </w:r>
      <w:r w:rsidR="00C6109A">
        <w:rPr>
          <w:rFonts w:ascii="Tahoma" w:hAnsi="Tahoma" w:cs="Tahoma"/>
          <w:b/>
        </w:rPr>
        <w:t xml:space="preserve"> – </w:t>
      </w:r>
      <w:r w:rsidR="00C6109A" w:rsidRPr="00C6109A">
        <w:rPr>
          <w:rFonts w:ascii="Tahoma" w:hAnsi="Tahoma" w:cs="Tahoma"/>
        </w:rPr>
        <w:t>On a first come first served basis</w:t>
      </w:r>
    </w:p>
    <w:p w:rsidR="00E3715B" w:rsidRPr="000F77EE" w:rsidRDefault="00E3715B" w:rsidP="00E3715B">
      <w:pPr>
        <w:rPr>
          <w:rFonts w:ascii="Tahoma" w:hAnsi="Tahoma" w:cs="Tahoma"/>
        </w:rPr>
      </w:pPr>
    </w:p>
    <w:p w:rsidR="00E3715B" w:rsidRPr="000F77EE" w:rsidRDefault="00E3715B" w:rsidP="00E3715B">
      <w:pPr>
        <w:ind w:left="720"/>
        <w:rPr>
          <w:rFonts w:ascii="Tahoma" w:hAnsi="Tahoma" w:cs="Tahoma"/>
        </w:rPr>
      </w:pPr>
      <w:r w:rsidRPr="000F77EE">
        <w:rPr>
          <w:rFonts w:ascii="Tahoma" w:hAnsi="Tahoma" w:cs="Tahoma"/>
          <w:b/>
        </w:rPr>
        <w:t>$300,000</w:t>
      </w:r>
      <w:r w:rsidRPr="000F77EE">
        <w:rPr>
          <w:rFonts w:ascii="Tahoma" w:hAnsi="Tahoma" w:cs="Tahoma"/>
        </w:rPr>
        <w:t xml:space="preserve"> – </w:t>
      </w:r>
      <w:r w:rsidRPr="000F77EE">
        <w:rPr>
          <w:rFonts w:ascii="Tahoma" w:hAnsi="Tahoma" w:cs="Tahoma"/>
          <w:u w:val="single"/>
        </w:rPr>
        <w:t xml:space="preserve">for zone adoption </w:t>
      </w:r>
      <w:r w:rsidR="00733625" w:rsidRPr="000F77EE">
        <w:rPr>
          <w:rFonts w:ascii="Tahoma" w:hAnsi="Tahoma" w:cs="Tahoma"/>
          <w:u w:val="single"/>
        </w:rPr>
        <w:t>incentive</w:t>
      </w:r>
      <w:r w:rsidRPr="000F77EE">
        <w:rPr>
          <w:rFonts w:ascii="Tahoma" w:hAnsi="Tahoma" w:cs="Tahoma"/>
          <w:u w:val="single"/>
        </w:rPr>
        <w:t>s</w:t>
      </w:r>
      <w:r w:rsidR="00733625" w:rsidRPr="000F77EE">
        <w:rPr>
          <w:rFonts w:ascii="Tahoma" w:hAnsi="Tahoma" w:cs="Tahoma"/>
        </w:rPr>
        <w:t xml:space="preserve"> - $20,000 lump sum to municipalities</w:t>
      </w:r>
    </w:p>
    <w:p w:rsidR="00733625" w:rsidRPr="000F77EE" w:rsidRDefault="00733625" w:rsidP="00E3715B">
      <w:pPr>
        <w:ind w:left="720"/>
        <w:rPr>
          <w:rFonts w:ascii="Tahoma" w:hAnsi="Tahoma" w:cs="Tahoma"/>
        </w:rPr>
      </w:pPr>
      <w:r w:rsidRPr="000F77EE">
        <w:rPr>
          <w:rFonts w:ascii="Tahoma" w:hAnsi="Tahoma" w:cs="Tahoma"/>
          <w:b/>
        </w:rPr>
        <w:t>$700,000</w:t>
      </w:r>
      <w:r w:rsidRPr="000F77EE">
        <w:rPr>
          <w:rFonts w:ascii="Tahoma" w:hAnsi="Tahoma" w:cs="Tahoma"/>
        </w:rPr>
        <w:t xml:space="preserve"> – </w:t>
      </w:r>
      <w:r w:rsidRPr="000F77EE">
        <w:rPr>
          <w:rFonts w:ascii="Tahoma" w:hAnsi="Tahoma" w:cs="Tahoma"/>
          <w:u w:val="single"/>
        </w:rPr>
        <w:t xml:space="preserve">for building </w:t>
      </w:r>
      <w:proofErr w:type="gramStart"/>
      <w:r w:rsidRPr="000F77EE">
        <w:rPr>
          <w:rFonts w:ascii="Tahoma" w:hAnsi="Tahoma" w:cs="Tahoma"/>
          <w:u w:val="single"/>
        </w:rPr>
        <w:t>permit</w:t>
      </w:r>
      <w:proofErr w:type="gramEnd"/>
      <w:r w:rsidRPr="000F77EE">
        <w:rPr>
          <w:rFonts w:ascii="Tahoma" w:hAnsi="Tahoma" w:cs="Tahoma"/>
          <w:u w:val="single"/>
        </w:rPr>
        <w:t xml:space="preserve"> incentives</w:t>
      </w:r>
      <w:r w:rsidRPr="000F77EE">
        <w:rPr>
          <w:rFonts w:ascii="Tahoma" w:hAnsi="Tahoma" w:cs="Tahoma"/>
        </w:rPr>
        <w:t xml:space="preserve"> – based upon the stepped approach as follows with $15,000 floor and $50,000 ceiling limits</w:t>
      </w:r>
    </w:p>
    <w:p w:rsidR="00733625" w:rsidRPr="000F77EE" w:rsidRDefault="00733625" w:rsidP="00E3715B">
      <w:pPr>
        <w:ind w:left="720"/>
        <w:rPr>
          <w:rFonts w:ascii="Tahoma" w:hAnsi="Tahoma" w:cs="Tahoma"/>
        </w:rPr>
      </w:pPr>
    </w:p>
    <w:tbl>
      <w:tblPr>
        <w:tblW w:w="8782" w:type="dxa"/>
        <w:tblInd w:w="794" w:type="dxa"/>
        <w:tblCellMar>
          <w:left w:w="0" w:type="dxa"/>
          <w:right w:w="0" w:type="dxa"/>
        </w:tblCellMar>
        <w:tblLook w:val="04A0"/>
      </w:tblPr>
      <w:tblGrid>
        <w:gridCol w:w="2296"/>
        <w:gridCol w:w="1161"/>
        <w:gridCol w:w="1128"/>
        <w:gridCol w:w="1273"/>
        <w:gridCol w:w="1462"/>
        <w:gridCol w:w="1462"/>
      </w:tblGrid>
      <w:tr w:rsidR="00733625" w:rsidRPr="000F77EE" w:rsidTr="000F77EE">
        <w:trPr>
          <w:trHeight w:val="1200"/>
        </w:trPr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625" w:rsidRPr="000F77EE" w:rsidRDefault="00733625">
            <w:pPr>
              <w:ind w:firstLine="221"/>
              <w:rPr>
                <w:rFonts w:ascii="Tahoma" w:hAnsi="Tahoma" w:cs="Tahoma"/>
                <w:b/>
                <w:bCs/>
                <w:color w:val="000000"/>
              </w:rPr>
            </w:pPr>
            <w:r w:rsidRPr="000F77EE">
              <w:rPr>
                <w:rFonts w:ascii="Tahoma" w:hAnsi="Tahoma" w:cs="Tahoma"/>
                <w:b/>
                <w:bCs/>
                <w:color w:val="000000"/>
              </w:rPr>
              <w:t>Category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625" w:rsidRPr="000F77EE" w:rsidRDefault="00733625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F77EE">
              <w:rPr>
                <w:rFonts w:ascii="Tahoma" w:hAnsi="Tahoma" w:cs="Tahoma"/>
                <w:b/>
                <w:bCs/>
                <w:color w:val="000000"/>
              </w:rPr>
              <w:t>Number of Units to be Built-MIN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625" w:rsidRPr="000F77EE" w:rsidRDefault="00733625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F77EE">
              <w:rPr>
                <w:rFonts w:ascii="Tahoma" w:hAnsi="Tahoma" w:cs="Tahoma"/>
                <w:b/>
                <w:bCs/>
                <w:color w:val="000000"/>
              </w:rPr>
              <w:t>Number of Units to be Built-MAX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625" w:rsidRPr="000F77EE" w:rsidRDefault="00733625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F77EE">
              <w:rPr>
                <w:rFonts w:ascii="Tahoma" w:hAnsi="Tahoma" w:cs="Tahoma"/>
                <w:b/>
                <w:bCs/>
                <w:color w:val="000000"/>
              </w:rPr>
              <w:t>$ per unit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625" w:rsidRPr="000F77EE" w:rsidRDefault="00733625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F77EE">
              <w:rPr>
                <w:rFonts w:ascii="Tahoma" w:hAnsi="Tahoma" w:cs="Tahoma"/>
                <w:b/>
                <w:bCs/>
                <w:color w:val="000000"/>
              </w:rPr>
              <w:t>Range of Incentives- MIN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625" w:rsidRPr="000F77EE" w:rsidRDefault="00733625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F77EE">
              <w:rPr>
                <w:rFonts w:ascii="Tahoma" w:hAnsi="Tahoma" w:cs="Tahoma"/>
                <w:b/>
                <w:bCs/>
                <w:color w:val="000000"/>
              </w:rPr>
              <w:t>Range of Incentives- MAX</w:t>
            </w:r>
          </w:p>
        </w:tc>
      </w:tr>
      <w:tr w:rsidR="00733625" w:rsidRPr="000F77EE" w:rsidTr="000F77EE">
        <w:trPr>
          <w:trHeight w:val="300"/>
        </w:trPr>
        <w:tc>
          <w:tcPr>
            <w:tcW w:w="23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625" w:rsidRPr="000F77EE" w:rsidRDefault="00733625">
            <w:pPr>
              <w:ind w:firstLine="220"/>
              <w:rPr>
                <w:rFonts w:ascii="Tahoma" w:hAnsi="Tahoma" w:cs="Tahoma"/>
                <w:color w:val="000000"/>
              </w:rPr>
            </w:pPr>
            <w:r w:rsidRPr="000F77EE">
              <w:rPr>
                <w:rFonts w:ascii="Tahoma" w:hAnsi="Tahoma" w:cs="Tahoma"/>
                <w:color w:val="000000"/>
              </w:rPr>
              <w:t>A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625" w:rsidRPr="000F77EE" w:rsidRDefault="00733625">
            <w:pPr>
              <w:jc w:val="center"/>
              <w:rPr>
                <w:rFonts w:ascii="Tahoma" w:hAnsi="Tahoma" w:cs="Tahoma"/>
                <w:color w:val="000000"/>
              </w:rPr>
            </w:pPr>
            <w:r w:rsidRPr="000F77EE"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625" w:rsidRPr="000F77EE" w:rsidRDefault="00733625">
            <w:pPr>
              <w:jc w:val="center"/>
              <w:rPr>
                <w:rFonts w:ascii="Tahoma" w:hAnsi="Tahoma" w:cs="Tahoma"/>
                <w:color w:val="000000"/>
              </w:rPr>
            </w:pPr>
            <w:r w:rsidRPr="000F77EE">
              <w:rPr>
                <w:rFonts w:ascii="Tahoma" w:hAnsi="Tahoma" w:cs="Tahoma"/>
                <w:color w:val="000000"/>
              </w:rPr>
              <w:t>100</w:t>
            </w:r>
          </w:p>
        </w:tc>
        <w:tc>
          <w:tcPr>
            <w:tcW w:w="12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625" w:rsidRPr="000F77EE" w:rsidRDefault="00733625">
            <w:pPr>
              <w:jc w:val="center"/>
              <w:rPr>
                <w:rFonts w:ascii="Tahoma" w:hAnsi="Tahoma" w:cs="Tahoma"/>
                <w:color w:val="000000"/>
              </w:rPr>
            </w:pPr>
            <w:r w:rsidRPr="000F77EE">
              <w:rPr>
                <w:rFonts w:ascii="Tahoma" w:hAnsi="Tahoma" w:cs="Tahoma"/>
                <w:color w:val="000000"/>
              </w:rPr>
              <w:t>$115</w:t>
            </w:r>
          </w:p>
        </w:tc>
        <w:tc>
          <w:tcPr>
            <w:tcW w:w="143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625" w:rsidRPr="000F77EE" w:rsidRDefault="00733625">
            <w:pPr>
              <w:ind w:firstLine="220"/>
              <w:jc w:val="right"/>
              <w:rPr>
                <w:rFonts w:ascii="Tahoma" w:hAnsi="Tahoma" w:cs="Tahoma"/>
                <w:color w:val="000000"/>
              </w:rPr>
            </w:pPr>
            <w:r w:rsidRPr="000F77EE">
              <w:rPr>
                <w:rFonts w:ascii="Tahoma" w:hAnsi="Tahoma" w:cs="Tahoma"/>
                <w:color w:val="000000"/>
              </w:rPr>
              <w:t>$1,150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625" w:rsidRPr="000F77EE" w:rsidRDefault="00733625">
            <w:pPr>
              <w:ind w:firstLine="220"/>
              <w:jc w:val="right"/>
              <w:rPr>
                <w:rFonts w:ascii="Tahoma" w:hAnsi="Tahoma" w:cs="Tahoma"/>
                <w:color w:val="000000"/>
              </w:rPr>
            </w:pPr>
            <w:r w:rsidRPr="000F77EE">
              <w:rPr>
                <w:rFonts w:ascii="Tahoma" w:hAnsi="Tahoma" w:cs="Tahoma"/>
                <w:color w:val="000000"/>
              </w:rPr>
              <w:t>$11,500</w:t>
            </w:r>
          </w:p>
        </w:tc>
      </w:tr>
      <w:tr w:rsidR="00733625" w:rsidRPr="000F77EE" w:rsidTr="000F77EE">
        <w:trPr>
          <w:trHeight w:val="300"/>
        </w:trPr>
        <w:tc>
          <w:tcPr>
            <w:tcW w:w="23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625" w:rsidRPr="000F77EE" w:rsidRDefault="00733625">
            <w:pPr>
              <w:ind w:firstLine="220"/>
              <w:rPr>
                <w:rFonts w:ascii="Tahoma" w:hAnsi="Tahoma" w:cs="Tahoma"/>
                <w:color w:val="000000"/>
              </w:rPr>
            </w:pPr>
            <w:r w:rsidRPr="000F77EE">
              <w:rPr>
                <w:rFonts w:ascii="Tahoma" w:hAnsi="Tahoma" w:cs="Tahoma"/>
                <w:color w:val="000000"/>
              </w:rPr>
              <w:t>B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625" w:rsidRPr="000F77EE" w:rsidRDefault="00733625">
            <w:pPr>
              <w:jc w:val="center"/>
              <w:rPr>
                <w:rFonts w:ascii="Tahoma" w:hAnsi="Tahoma" w:cs="Tahoma"/>
                <w:color w:val="000000"/>
              </w:rPr>
            </w:pPr>
            <w:r w:rsidRPr="000F77EE">
              <w:rPr>
                <w:rFonts w:ascii="Tahoma" w:hAnsi="Tahoma" w:cs="Tahoma"/>
                <w:color w:val="000000"/>
              </w:rPr>
              <w:t>101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625" w:rsidRPr="000F77EE" w:rsidRDefault="00733625">
            <w:pPr>
              <w:jc w:val="center"/>
              <w:rPr>
                <w:rFonts w:ascii="Tahoma" w:hAnsi="Tahoma" w:cs="Tahoma"/>
                <w:color w:val="000000"/>
              </w:rPr>
            </w:pPr>
            <w:r w:rsidRPr="000F77EE">
              <w:rPr>
                <w:rFonts w:ascii="Tahoma" w:hAnsi="Tahoma" w:cs="Tahoma"/>
                <w:color w:val="000000"/>
              </w:rPr>
              <w:t>150</w:t>
            </w:r>
          </w:p>
        </w:tc>
        <w:tc>
          <w:tcPr>
            <w:tcW w:w="12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625" w:rsidRPr="000F77EE" w:rsidRDefault="00733625">
            <w:pPr>
              <w:jc w:val="center"/>
              <w:rPr>
                <w:rFonts w:ascii="Tahoma" w:hAnsi="Tahoma" w:cs="Tahoma"/>
                <w:color w:val="000000"/>
              </w:rPr>
            </w:pPr>
            <w:r w:rsidRPr="000F77EE">
              <w:rPr>
                <w:rFonts w:ascii="Tahoma" w:hAnsi="Tahoma" w:cs="Tahoma"/>
                <w:color w:val="000000"/>
              </w:rPr>
              <w:t>$125</w:t>
            </w:r>
          </w:p>
        </w:tc>
        <w:tc>
          <w:tcPr>
            <w:tcW w:w="143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625" w:rsidRPr="000F77EE" w:rsidRDefault="00733625">
            <w:pPr>
              <w:ind w:firstLine="220"/>
              <w:jc w:val="right"/>
              <w:rPr>
                <w:rFonts w:ascii="Tahoma" w:hAnsi="Tahoma" w:cs="Tahoma"/>
                <w:color w:val="000000"/>
              </w:rPr>
            </w:pPr>
            <w:r w:rsidRPr="000F77EE">
              <w:rPr>
                <w:rFonts w:ascii="Tahoma" w:hAnsi="Tahoma" w:cs="Tahoma"/>
                <w:color w:val="000000"/>
              </w:rPr>
              <w:t>$12,625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625" w:rsidRPr="000F77EE" w:rsidRDefault="00733625">
            <w:pPr>
              <w:ind w:firstLine="220"/>
              <w:jc w:val="right"/>
              <w:rPr>
                <w:rFonts w:ascii="Tahoma" w:hAnsi="Tahoma" w:cs="Tahoma"/>
                <w:color w:val="000000"/>
              </w:rPr>
            </w:pPr>
            <w:r w:rsidRPr="000F77EE">
              <w:rPr>
                <w:rFonts w:ascii="Tahoma" w:hAnsi="Tahoma" w:cs="Tahoma"/>
                <w:color w:val="000000"/>
              </w:rPr>
              <w:t>$18,750</w:t>
            </w:r>
          </w:p>
        </w:tc>
      </w:tr>
      <w:tr w:rsidR="00733625" w:rsidRPr="000F77EE" w:rsidTr="000F77EE">
        <w:trPr>
          <w:trHeight w:val="300"/>
        </w:trPr>
        <w:tc>
          <w:tcPr>
            <w:tcW w:w="23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625" w:rsidRPr="000F77EE" w:rsidRDefault="00733625">
            <w:pPr>
              <w:ind w:firstLine="220"/>
              <w:rPr>
                <w:rFonts w:ascii="Tahoma" w:hAnsi="Tahoma" w:cs="Tahoma"/>
                <w:color w:val="000000"/>
              </w:rPr>
            </w:pPr>
            <w:r w:rsidRPr="000F77EE">
              <w:rPr>
                <w:rFonts w:ascii="Tahoma" w:hAnsi="Tahoma" w:cs="Tahoma"/>
                <w:color w:val="000000"/>
              </w:rPr>
              <w:t>C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625" w:rsidRPr="000F77EE" w:rsidRDefault="00733625">
            <w:pPr>
              <w:jc w:val="center"/>
              <w:rPr>
                <w:rFonts w:ascii="Tahoma" w:hAnsi="Tahoma" w:cs="Tahoma"/>
                <w:color w:val="000000"/>
              </w:rPr>
            </w:pPr>
            <w:r w:rsidRPr="000F77EE">
              <w:rPr>
                <w:rFonts w:ascii="Tahoma" w:hAnsi="Tahoma" w:cs="Tahoma"/>
                <w:color w:val="000000"/>
              </w:rPr>
              <w:t>151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625" w:rsidRPr="000F77EE" w:rsidRDefault="00733625">
            <w:pPr>
              <w:jc w:val="center"/>
              <w:rPr>
                <w:rFonts w:ascii="Tahoma" w:hAnsi="Tahoma" w:cs="Tahoma"/>
                <w:color w:val="000000"/>
              </w:rPr>
            </w:pPr>
            <w:r w:rsidRPr="000F77EE">
              <w:rPr>
                <w:rFonts w:ascii="Tahoma" w:hAnsi="Tahoma" w:cs="Tahoma"/>
                <w:color w:val="000000"/>
              </w:rPr>
              <w:t>250</w:t>
            </w:r>
          </w:p>
        </w:tc>
        <w:tc>
          <w:tcPr>
            <w:tcW w:w="12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625" w:rsidRPr="000F77EE" w:rsidRDefault="00733625">
            <w:pPr>
              <w:jc w:val="center"/>
              <w:rPr>
                <w:rFonts w:ascii="Tahoma" w:hAnsi="Tahoma" w:cs="Tahoma"/>
                <w:color w:val="000000"/>
              </w:rPr>
            </w:pPr>
            <w:r w:rsidRPr="000F77EE">
              <w:rPr>
                <w:rFonts w:ascii="Tahoma" w:hAnsi="Tahoma" w:cs="Tahoma"/>
                <w:color w:val="000000"/>
              </w:rPr>
              <w:t>$135</w:t>
            </w:r>
          </w:p>
        </w:tc>
        <w:tc>
          <w:tcPr>
            <w:tcW w:w="143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625" w:rsidRPr="000F77EE" w:rsidRDefault="00733625">
            <w:pPr>
              <w:ind w:firstLine="220"/>
              <w:jc w:val="right"/>
              <w:rPr>
                <w:rFonts w:ascii="Tahoma" w:hAnsi="Tahoma" w:cs="Tahoma"/>
                <w:color w:val="000000"/>
              </w:rPr>
            </w:pPr>
            <w:r w:rsidRPr="000F77EE">
              <w:rPr>
                <w:rFonts w:ascii="Tahoma" w:hAnsi="Tahoma" w:cs="Tahoma"/>
                <w:color w:val="000000"/>
              </w:rPr>
              <w:t>$20,385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625" w:rsidRPr="000F77EE" w:rsidRDefault="00733625">
            <w:pPr>
              <w:ind w:firstLine="220"/>
              <w:jc w:val="right"/>
              <w:rPr>
                <w:rFonts w:ascii="Tahoma" w:hAnsi="Tahoma" w:cs="Tahoma"/>
                <w:color w:val="000000"/>
              </w:rPr>
            </w:pPr>
            <w:r w:rsidRPr="000F77EE">
              <w:rPr>
                <w:rFonts w:ascii="Tahoma" w:hAnsi="Tahoma" w:cs="Tahoma"/>
                <w:color w:val="000000"/>
              </w:rPr>
              <w:t>$33,750</w:t>
            </w:r>
          </w:p>
        </w:tc>
      </w:tr>
      <w:tr w:rsidR="00733625" w:rsidRPr="000F77EE" w:rsidTr="000F77EE">
        <w:trPr>
          <w:trHeight w:val="30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625" w:rsidRPr="000F77EE" w:rsidRDefault="00733625">
            <w:pPr>
              <w:ind w:firstLine="220"/>
              <w:rPr>
                <w:rFonts w:ascii="Tahoma" w:hAnsi="Tahoma" w:cs="Tahoma"/>
                <w:color w:val="000000"/>
              </w:rPr>
            </w:pPr>
            <w:r w:rsidRPr="000F77EE">
              <w:rPr>
                <w:rFonts w:ascii="Tahoma" w:hAnsi="Tahoma" w:cs="Tahoma"/>
                <w:color w:val="000000"/>
              </w:rPr>
              <w:t>D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625" w:rsidRPr="000F77EE" w:rsidRDefault="00733625">
            <w:pPr>
              <w:jc w:val="center"/>
              <w:rPr>
                <w:rFonts w:ascii="Tahoma" w:hAnsi="Tahoma" w:cs="Tahoma"/>
                <w:color w:val="000000"/>
              </w:rPr>
            </w:pPr>
            <w:r w:rsidRPr="000F77EE">
              <w:rPr>
                <w:rFonts w:ascii="Tahoma" w:hAnsi="Tahoma" w:cs="Tahoma"/>
                <w:color w:val="000000"/>
              </w:rPr>
              <w:t>251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625" w:rsidRPr="000F77EE" w:rsidRDefault="00733625">
            <w:pPr>
              <w:jc w:val="center"/>
              <w:rPr>
                <w:rFonts w:ascii="Tahoma" w:hAnsi="Tahoma" w:cs="Tahoma"/>
                <w:color w:val="000000"/>
              </w:rPr>
            </w:pPr>
            <w:r w:rsidRPr="000F77EE">
              <w:rPr>
                <w:rFonts w:ascii="Tahoma" w:hAnsi="Tahoma" w:cs="Tahoma"/>
                <w:color w:val="000000"/>
              </w:rPr>
              <w:t>1000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625" w:rsidRPr="000F77EE" w:rsidRDefault="00733625">
            <w:pPr>
              <w:jc w:val="center"/>
              <w:rPr>
                <w:rFonts w:ascii="Tahoma" w:hAnsi="Tahoma" w:cs="Tahoma"/>
                <w:color w:val="000000"/>
              </w:rPr>
            </w:pPr>
            <w:r w:rsidRPr="000F77EE">
              <w:rPr>
                <w:rFonts w:ascii="Tahoma" w:hAnsi="Tahoma" w:cs="Tahoma"/>
                <w:color w:val="000000"/>
              </w:rPr>
              <w:t>$150</w:t>
            </w:r>
          </w:p>
        </w:tc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625" w:rsidRPr="000F77EE" w:rsidRDefault="00733625">
            <w:pPr>
              <w:ind w:firstLine="220"/>
              <w:jc w:val="right"/>
              <w:rPr>
                <w:rFonts w:ascii="Tahoma" w:hAnsi="Tahoma" w:cs="Tahoma"/>
                <w:color w:val="000000"/>
              </w:rPr>
            </w:pPr>
            <w:r w:rsidRPr="000F77EE">
              <w:rPr>
                <w:rFonts w:ascii="Tahoma" w:hAnsi="Tahoma" w:cs="Tahoma"/>
                <w:color w:val="000000"/>
              </w:rPr>
              <w:t>$37,650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625" w:rsidRPr="000F77EE" w:rsidRDefault="00733625">
            <w:pPr>
              <w:ind w:firstLine="220"/>
              <w:jc w:val="right"/>
              <w:rPr>
                <w:rFonts w:ascii="Tahoma" w:hAnsi="Tahoma" w:cs="Tahoma"/>
                <w:color w:val="000000"/>
              </w:rPr>
            </w:pPr>
            <w:r w:rsidRPr="000F77EE">
              <w:rPr>
                <w:rFonts w:ascii="Tahoma" w:hAnsi="Tahoma" w:cs="Tahoma"/>
                <w:color w:val="000000"/>
              </w:rPr>
              <w:t>$150,000</w:t>
            </w:r>
          </w:p>
        </w:tc>
      </w:tr>
    </w:tbl>
    <w:p w:rsidR="00E3715B" w:rsidRPr="000F77EE" w:rsidRDefault="00E3715B" w:rsidP="00E3715B">
      <w:pPr>
        <w:rPr>
          <w:rFonts w:ascii="Tahoma" w:hAnsi="Tahoma" w:cs="Tahoma"/>
        </w:rPr>
      </w:pPr>
    </w:p>
    <w:p w:rsidR="00E3715B" w:rsidRPr="000F77EE" w:rsidRDefault="00E3715B" w:rsidP="00E3715B">
      <w:pPr>
        <w:rPr>
          <w:rFonts w:ascii="Tahoma" w:hAnsi="Tahoma" w:cs="Tahoma"/>
        </w:rPr>
      </w:pPr>
    </w:p>
    <w:p w:rsidR="00733625" w:rsidRPr="000F77EE" w:rsidRDefault="00F72512" w:rsidP="00E3715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$2.0 million</w:t>
      </w:r>
    </w:p>
    <w:p w:rsidR="00733625" w:rsidRPr="000F77EE" w:rsidRDefault="00733625" w:rsidP="00E3715B">
      <w:pPr>
        <w:rPr>
          <w:rFonts w:ascii="Tahoma" w:hAnsi="Tahoma" w:cs="Tahoma"/>
        </w:rPr>
      </w:pPr>
    </w:p>
    <w:p w:rsidR="00733625" w:rsidRPr="000F77EE" w:rsidRDefault="00F469A5" w:rsidP="00DC0E50">
      <w:pPr>
        <w:ind w:left="720"/>
        <w:rPr>
          <w:rFonts w:ascii="Tahoma" w:hAnsi="Tahoma" w:cs="Tahoma"/>
        </w:rPr>
      </w:pPr>
      <w:r>
        <w:t>DOH</w:t>
      </w:r>
      <w:r w:rsidR="00733625" w:rsidRPr="000F77EE">
        <w:rPr>
          <w:rFonts w:ascii="Tahoma" w:hAnsi="Tahoma" w:cs="Tahoma"/>
        </w:rPr>
        <w:t xml:space="preserve"> </w:t>
      </w:r>
      <w:r w:rsidR="005A1D3A">
        <w:t>will be</w:t>
      </w:r>
      <w:r w:rsidR="00733625" w:rsidRPr="000F77EE">
        <w:rPr>
          <w:rFonts w:ascii="Tahoma" w:hAnsi="Tahoma" w:cs="Tahoma"/>
        </w:rPr>
        <w:t xml:space="preserve"> offer</w:t>
      </w:r>
      <w:r w:rsidR="001276EA">
        <w:rPr>
          <w:rFonts w:ascii="Tahoma" w:hAnsi="Tahoma" w:cs="Tahoma"/>
        </w:rPr>
        <w:t>ing</w:t>
      </w:r>
      <w:r w:rsidR="00733625" w:rsidRPr="000F77EE">
        <w:rPr>
          <w:rFonts w:ascii="Tahoma" w:hAnsi="Tahoma" w:cs="Tahoma"/>
        </w:rPr>
        <w:t xml:space="preserve"> a </w:t>
      </w:r>
      <w:r>
        <w:t>second</w:t>
      </w:r>
      <w:r w:rsidR="00733625" w:rsidRPr="000F77EE">
        <w:rPr>
          <w:rFonts w:ascii="Tahoma" w:hAnsi="Tahoma" w:cs="Tahoma"/>
        </w:rPr>
        <w:t xml:space="preserve"> round of applications – </w:t>
      </w:r>
      <w:r w:rsidR="005A1D3A">
        <w:t>in the near future</w:t>
      </w:r>
    </w:p>
    <w:p w:rsidR="00733625" w:rsidRPr="000F77EE" w:rsidRDefault="00733625" w:rsidP="00DC0E50">
      <w:pPr>
        <w:ind w:left="720"/>
        <w:rPr>
          <w:rFonts w:ascii="Tahoma" w:hAnsi="Tahoma" w:cs="Tahoma"/>
        </w:rPr>
      </w:pPr>
    </w:p>
    <w:p w:rsidR="00733625" w:rsidRPr="000F77EE" w:rsidRDefault="00733625" w:rsidP="00DC0E50">
      <w:pPr>
        <w:ind w:left="720"/>
        <w:rPr>
          <w:rFonts w:ascii="Tahoma" w:hAnsi="Tahoma" w:cs="Tahoma"/>
        </w:rPr>
      </w:pPr>
      <w:r w:rsidRPr="000F77EE">
        <w:rPr>
          <w:rFonts w:ascii="Tahoma" w:hAnsi="Tahoma" w:cs="Tahoma"/>
        </w:rPr>
        <w:t>Municipalities are eligible for seeking funds for Phase I and Phase II of the predevelopment costs.</w:t>
      </w:r>
    </w:p>
    <w:p w:rsidR="00DC0E50" w:rsidRPr="000F77EE" w:rsidRDefault="00DC0E50" w:rsidP="00DC0E50">
      <w:pPr>
        <w:ind w:left="720"/>
        <w:rPr>
          <w:rFonts w:ascii="Tahoma" w:hAnsi="Tahoma" w:cs="Tahoma"/>
        </w:rPr>
      </w:pPr>
    </w:p>
    <w:p w:rsidR="00DC0E50" w:rsidRPr="000F77EE" w:rsidRDefault="00DC0E50" w:rsidP="00DC0E50">
      <w:pPr>
        <w:ind w:left="720"/>
        <w:rPr>
          <w:rFonts w:ascii="Tahoma" w:hAnsi="Tahoma" w:cs="Tahoma"/>
        </w:rPr>
      </w:pPr>
      <w:proofErr w:type="gramStart"/>
      <w:r w:rsidRPr="000F77EE">
        <w:rPr>
          <w:rFonts w:ascii="Tahoma" w:hAnsi="Tahoma" w:cs="Tahoma"/>
          <w:u w:val="single"/>
        </w:rPr>
        <w:t>Phase</w:t>
      </w:r>
      <w:proofErr w:type="gramEnd"/>
      <w:r w:rsidRPr="000F77EE">
        <w:rPr>
          <w:rFonts w:ascii="Tahoma" w:hAnsi="Tahoma" w:cs="Tahoma"/>
          <w:u w:val="single"/>
        </w:rPr>
        <w:t xml:space="preserve"> I pre-dev</w:t>
      </w:r>
      <w:r w:rsidRPr="000F77EE">
        <w:rPr>
          <w:rFonts w:ascii="Tahoma" w:hAnsi="Tahoma" w:cs="Tahoma"/>
        </w:rPr>
        <w:t xml:space="preserve"> – up to $20,000 - activities include legal/planning expenses for drafting</w:t>
      </w:r>
      <w:r w:rsidR="00ED646E">
        <w:rPr>
          <w:rFonts w:ascii="Tahoma" w:hAnsi="Tahoma" w:cs="Tahoma"/>
        </w:rPr>
        <w:t>/adoption</w:t>
      </w:r>
      <w:r w:rsidRPr="000F77EE">
        <w:rPr>
          <w:rFonts w:ascii="Tahoma" w:hAnsi="Tahoma" w:cs="Tahoma"/>
        </w:rPr>
        <w:t xml:space="preserve"> of IHZ regulations or design standards, feasibility studies for septic systems, other minor engineering studies</w:t>
      </w:r>
      <w:r w:rsidR="00ED646E">
        <w:rPr>
          <w:rFonts w:ascii="Tahoma" w:hAnsi="Tahoma" w:cs="Tahoma"/>
        </w:rPr>
        <w:t>.</w:t>
      </w:r>
    </w:p>
    <w:p w:rsidR="00DC0E50" w:rsidRPr="000F77EE" w:rsidRDefault="00DC0E50" w:rsidP="00DC0E50">
      <w:pPr>
        <w:ind w:left="720"/>
        <w:rPr>
          <w:rFonts w:ascii="Tahoma" w:hAnsi="Tahoma" w:cs="Tahoma"/>
        </w:rPr>
      </w:pPr>
    </w:p>
    <w:p w:rsidR="000B3724" w:rsidRPr="000F77EE" w:rsidRDefault="00DC0E50" w:rsidP="00F469A5">
      <w:pPr>
        <w:pStyle w:val="NoSpacing"/>
      </w:pPr>
      <w:r w:rsidRPr="000F77EE">
        <w:rPr>
          <w:u w:val="single"/>
        </w:rPr>
        <w:t>Phase II pre-dev</w:t>
      </w:r>
      <w:r w:rsidRPr="000F77EE">
        <w:t xml:space="preserve"> – up to $50,000 for </w:t>
      </w:r>
      <w:r w:rsidR="00ED646E" w:rsidRPr="00ED646E">
        <w:rPr>
          <w:u w:val="single"/>
        </w:rPr>
        <w:t xml:space="preserve">mixed income housing </w:t>
      </w:r>
      <w:r w:rsidRPr="000F77EE">
        <w:rPr>
          <w:u w:val="single"/>
        </w:rPr>
        <w:t>project specific</w:t>
      </w:r>
      <w:r w:rsidRPr="000F77EE">
        <w:t xml:space="preserve"> activities, </w:t>
      </w:r>
      <w:r w:rsidR="00F469A5">
        <w:t>DOH</w:t>
      </w:r>
      <w:r w:rsidRPr="000F77EE">
        <w:t xml:space="preserve"> may increase the limit on a case by case basis – activities include costs for land purchase options, planning/design costs, </w:t>
      </w:r>
      <w:r w:rsidR="008C08D4">
        <w:t xml:space="preserve">certain preliminary engineering costs, </w:t>
      </w:r>
      <w:r w:rsidRPr="000F77EE">
        <w:t>appraisals, legal and financial expenses, costs of permits and approvals, and other preliminary project costs as approved by the Secretary</w:t>
      </w:r>
      <w:r w:rsidR="000B3724" w:rsidRPr="000F77EE">
        <w:t>.</w:t>
      </w:r>
    </w:p>
    <w:p w:rsidR="000B3724" w:rsidRPr="000F77EE" w:rsidRDefault="000B3724" w:rsidP="000B3724">
      <w:pPr>
        <w:ind w:left="360"/>
        <w:rPr>
          <w:rFonts w:ascii="Tahoma" w:hAnsi="Tahoma" w:cs="Tahoma"/>
        </w:rPr>
      </w:pPr>
    </w:p>
    <w:p w:rsidR="000B3724" w:rsidRPr="000F77EE" w:rsidRDefault="000B3724" w:rsidP="000B3724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0F77EE">
        <w:rPr>
          <w:rFonts w:ascii="Tahoma" w:hAnsi="Tahoma" w:cs="Tahoma"/>
        </w:rPr>
        <w:t xml:space="preserve">This funding will be provided to the municipality </w:t>
      </w:r>
      <w:r w:rsidR="008C08D4">
        <w:rPr>
          <w:rFonts w:ascii="Tahoma" w:hAnsi="Tahoma" w:cs="Tahoma"/>
        </w:rPr>
        <w:t xml:space="preserve">for their </w:t>
      </w:r>
      <w:r w:rsidR="00C72FD8">
        <w:rPr>
          <w:rFonts w:ascii="Tahoma" w:hAnsi="Tahoma" w:cs="Tahoma"/>
        </w:rPr>
        <w:t xml:space="preserve">project </w:t>
      </w:r>
      <w:r w:rsidR="008C08D4">
        <w:rPr>
          <w:rFonts w:ascii="Tahoma" w:hAnsi="Tahoma" w:cs="Tahoma"/>
        </w:rPr>
        <w:t xml:space="preserve">use or </w:t>
      </w:r>
      <w:r w:rsidR="00C72FD8">
        <w:rPr>
          <w:rFonts w:ascii="Tahoma" w:hAnsi="Tahoma" w:cs="Tahoma"/>
        </w:rPr>
        <w:t xml:space="preserve">if there is a developer, </w:t>
      </w:r>
      <w:r w:rsidRPr="000F77EE">
        <w:rPr>
          <w:rFonts w:ascii="Tahoma" w:hAnsi="Tahoma" w:cs="Tahoma"/>
        </w:rPr>
        <w:t xml:space="preserve">to pass </w:t>
      </w:r>
      <w:r w:rsidR="008D04B1">
        <w:rPr>
          <w:rFonts w:ascii="Tahoma" w:hAnsi="Tahoma" w:cs="Tahoma"/>
        </w:rPr>
        <w:t>through</w:t>
      </w:r>
      <w:r w:rsidR="0009710D">
        <w:rPr>
          <w:rFonts w:ascii="Tahoma" w:hAnsi="Tahoma" w:cs="Tahoma"/>
        </w:rPr>
        <w:t xml:space="preserve"> </w:t>
      </w:r>
      <w:r w:rsidR="00C72FD8">
        <w:rPr>
          <w:rFonts w:ascii="Tahoma" w:hAnsi="Tahoma" w:cs="Tahoma"/>
        </w:rPr>
        <w:t xml:space="preserve">the funds </w:t>
      </w:r>
      <w:r w:rsidR="0009710D">
        <w:rPr>
          <w:rFonts w:ascii="Tahoma" w:hAnsi="Tahoma" w:cs="Tahoma"/>
        </w:rPr>
        <w:t>to the project developers.</w:t>
      </w:r>
    </w:p>
    <w:p w:rsidR="000B3724" w:rsidRPr="009B19FD" w:rsidRDefault="0009710D" w:rsidP="000B3724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9B19FD">
        <w:rPr>
          <w:rFonts w:ascii="Tahoma" w:hAnsi="Tahoma" w:cs="Tahoma"/>
        </w:rPr>
        <w:t>This f</w:t>
      </w:r>
      <w:r w:rsidR="00ED646E">
        <w:rPr>
          <w:rFonts w:ascii="Tahoma" w:hAnsi="Tahoma" w:cs="Tahoma"/>
        </w:rPr>
        <w:t xml:space="preserve">unding is for municipalities </w:t>
      </w:r>
      <w:r w:rsidR="00ED646E">
        <w:t xml:space="preserve">for </w:t>
      </w:r>
      <w:r w:rsidRPr="009B19FD">
        <w:rPr>
          <w:rFonts w:ascii="Tahoma" w:hAnsi="Tahoma" w:cs="Tahoma"/>
        </w:rPr>
        <w:t xml:space="preserve">projects </w:t>
      </w:r>
      <w:r w:rsidR="00ED646E" w:rsidRPr="00ED646E">
        <w:rPr>
          <w:rFonts w:ascii="Tahoma" w:hAnsi="Tahoma" w:cs="Tahoma"/>
        </w:rPr>
        <w:t>(municipal or private)</w:t>
      </w:r>
      <w:r w:rsidR="00ED646E">
        <w:t xml:space="preserve"> </w:t>
      </w:r>
      <w:r w:rsidRPr="009B19FD">
        <w:rPr>
          <w:rFonts w:ascii="Tahoma" w:hAnsi="Tahoma" w:cs="Tahoma"/>
        </w:rPr>
        <w:t>meeting the requirements of CGS Section 8-13 (m-x)</w:t>
      </w:r>
      <w:r w:rsidR="000B3724" w:rsidRPr="009B19FD">
        <w:rPr>
          <w:rFonts w:ascii="Tahoma" w:hAnsi="Tahoma" w:cs="Tahoma"/>
        </w:rPr>
        <w:t>.</w:t>
      </w:r>
    </w:p>
    <w:p w:rsidR="000B3724" w:rsidRPr="000F77EE" w:rsidRDefault="008C08D4" w:rsidP="000B3724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In case of pass through, municipalities</w:t>
      </w:r>
      <w:r w:rsidR="000B3724" w:rsidRPr="000F77EE">
        <w:rPr>
          <w:rFonts w:ascii="Tahoma" w:hAnsi="Tahoma" w:cs="Tahoma"/>
        </w:rPr>
        <w:t xml:space="preserve"> will be required to have an agreement with the private developer or property owner to return the funds to the municipality if the </w:t>
      </w:r>
      <w:r w:rsidR="000B3724" w:rsidRPr="000F77EE">
        <w:rPr>
          <w:rFonts w:ascii="Tahoma" w:hAnsi="Tahoma" w:cs="Tahoma"/>
        </w:rPr>
        <w:lastRenderedPageBreak/>
        <w:t>project does not result in construction of a mixed income housing project as described in the application.</w:t>
      </w:r>
    </w:p>
    <w:p w:rsidR="001276EA" w:rsidRDefault="001276EA" w:rsidP="00E3715B">
      <w:pPr>
        <w:rPr>
          <w:rFonts w:ascii="Tahoma" w:hAnsi="Tahoma" w:cs="Tahoma"/>
          <w:b/>
          <w:bCs/>
        </w:rPr>
      </w:pPr>
    </w:p>
    <w:p w:rsidR="00E3715B" w:rsidRPr="009B19FD" w:rsidRDefault="00E3715B" w:rsidP="00E3715B">
      <w:pPr>
        <w:rPr>
          <w:rFonts w:ascii="Tahoma" w:hAnsi="Tahoma" w:cs="Tahoma"/>
          <w:b/>
          <w:bCs/>
        </w:rPr>
      </w:pPr>
      <w:r w:rsidRPr="000F77EE">
        <w:rPr>
          <w:rFonts w:ascii="Tahoma" w:hAnsi="Tahoma" w:cs="Tahoma"/>
          <w:b/>
          <w:bCs/>
        </w:rPr>
        <w:t>Criteria to be used to prioritize applications to receive funds</w:t>
      </w:r>
      <w:r w:rsidR="0009710D">
        <w:rPr>
          <w:rFonts w:ascii="Tahoma" w:hAnsi="Tahoma" w:cs="Tahoma"/>
          <w:b/>
          <w:bCs/>
        </w:rPr>
        <w:t xml:space="preserve"> </w:t>
      </w:r>
      <w:r w:rsidR="0009710D" w:rsidRPr="009B19FD">
        <w:rPr>
          <w:rFonts w:ascii="Tahoma" w:hAnsi="Tahoma" w:cs="Tahoma"/>
          <w:bCs/>
          <w:i/>
        </w:rPr>
        <w:t>(Low to High priority for Phase I and High to Low Priority for Phase II)</w:t>
      </w:r>
      <w:r w:rsidRPr="009B19FD">
        <w:rPr>
          <w:rFonts w:ascii="Tahoma" w:hAnsi="Tahoma" w:cs="Tahoma"/>
          <w:b/>
          <w:bCs/>
        </w:rPr>
        <w:t>:</w:t>
      </w:r>
    </w:p>
    <w:p w:rsidR="00E3715B" w:rsidRPr="000F77EE" w:rsidRDefault="00E3715B" w:rsidP="00E3715B">
      <w:pPr>
        <w:rPr>
          <w:rFonts w:ascii="Tahoma" w:hAnsi="Tahoma" w:cs="Tahoma"/>
        </w:rPr>
      </w:pPr>
    </w:p>
    <w:p w:rsidR="0009710D" w:rsidRDefault="00E3715B" w:rsidP="00E3715B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09710D">
        <w:rPr>
          <w:rFonts w:ascii="Tahoma" w:hAnsi="Tahoma" w:cs="Tahoma"/>
        </w:rPr>
        <w:t>Towns that have adopted IHZs (</w:t>
      </w:r>
      <w:r w:rsidRPr="0009710D">
        <w:rPr>
          <w:rFonts w:ascii="Tahoma" w:hAnsi="Tahoma" w:cs="Tahoma"/>
          <w:u w:val="single"/>
        </w:rPr>
        <w:t>these towns cannot ask for funds related to drafting of IHZ regulations and design standards, engineering expenses, feasibility studies as they have already adopted IHZ**</w:t>
      </w:r>
      <w:r w:rsidRPr="0009710D">
        <w:rPr>
          <w:rFonts w:ascii="Tahoma" w:hAnsi="Tahoma" w:cs="Tahoma"/>
        </w:rPr>
        <w:t>)</w:t>
      </w:r>
    </w:p>
    <w:p w:rsidR="0009710D" w:rsidRDefault="0009710D" w:rsidP="0009710D">
      <w:pPr>
        <w:pStyle w:val="ListParagraph"/>
        <w:rPr>
          <w:rFonts w:ascii="Tahoma" w:hAnsi="Tahoma" w:cs="Tahoma"/>
        </w:rPr>
      </w:pPr>
    </w:p>
    <w:p w:rsidR="00E3715B" w:rsidRPr="0009710D" w:rsidRDefault="00E3715B" w:rsidP="00E3715B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09710D">
        <w:rPr>
          <w:rFonts w:ascii="Tahoma" w:hAnsi="Tahoma" w:cs="Tahoma"/>
        </w:rPr>
        <w:t xml:space="preserve">Towns that </w:t>
      </w:r>
      <w:r w:rsidR="000F77EE" w:rsidRPr="0009710D">
        <w:rPr>
          <w:rFonts w:ascii="Tahoma" w:hAnsi="Tahoma" w:cs="Tahoma"/>
        </w:rPr>
        <w:t xml:space="preserve">have </w:t>
      </w:r>
      <w:r w:rsidRPr="0009710D">
        <w:rPr>
          <w:rFonts w:ascii="Tahoma" w:hAnsi="Tahoma" w:cs="Tahoma"/>
        </w:rPr>
        <w:t>identified IHZs and done all preliminary work (regulations for the IHZ, regulations for design, held all requisite hearings) (</w:t>
      </w:r>
      <w:r w:rsidRPr="0009710D">
        <w:rPr>
          <w:rFonts w:ascii="Tahoma" w:hAnsi="Tahoma" w:cs="Tahoma"/>
          <w:u w:val="single"/>
        </w:rPr>
        <w:t>same restriction as 1, however can ask for activities related to getting the IHZ adopted</w:t>
      </w:r>
      <w:r w:rsidR="000F77EE" w:rsidRPr="0009710D">
        <w:rPr>
          <w:rFonts w:ascii="Tahoma" w:hAnsi="Tahoma" w:cs="Tahoma"/>
          <w:u w:val="single"/>
        </w:rPr>
        <w:t>, provided they have not received Technical Assistance funds from OPM</w:t>
      </w:r>
      <w:r w:rsidRPr="0009710D">
        <w:rPr>
          <w:rFonts w:ascii="Tahoma" w:hAnsi="Tahoma" w:cs="Tahoma"/>
          <w:u w:val="single"/>
        </w:rPr>
        <w:t>)</w:t>
      </w:r>
    </w:p>
    <w:p w:rsidR="0009710D" w:rsidRPr="0009710D" w:rsidRDefault="0009710D" w:rsidP="0009710D">
      <w:pPr>
        <w:pStyle w:val="ListParagraph"/>
        <w:rPr>
          <w:rFonts w:ascii="Tahoma" w:hAnsi="Tahoma" w:cs="Tahoma"/>
        </w:rPr>
      </w:pPr>
    </w:p>
    <w:p w:rsidR="00E3715B" w:rsidRPr="0009710D" w:rsidRDefault="00E3715B" w:rsidP="0009710D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09710D">
        <w:rPr>
          <w:rFonts w:ascii="Tahoma" w:hAnsi="Tahoma" w:cs="Tahoma"/>
        </w:rPr>
        <w:t>Towns that have conducted studies, identified potentia</w:t>
      </w:r>
      <w:r w:rsidR="001216E7">
        <w:rPr>
          <w:rFonts w:ascii="Tahoma" w:hAnsi="Tahoma" w:cs="Tahoma"/>
        </w:rPr>
        <w:t>l IHZs and can demonstrate Pre-dev</w:t>
      </w:r>
      <w:r w:rsidRPr="0009710D">
        <w:rPr>
          <w:rFonts w:ascii="Tahoma" w:hAnsi="Tahoma" w:cs="Tahoma"/>
        </w:rPr>
        <w:t xml:space="preserve"> funding will lead within 6 months to adopted IHZ (</w:t>
      </w:r>
      <w:r w:rsidRPr="0009710D">
        <w:rPr>
          <w:rFonts w:ascii="Tahoma" w:hAnsi="Tahoma" w:cs="Tahoma"/>
          <w:u w:val="single"/>
        </w:rPr>
        <w:t>same restriction as 2</w:t>
      </w:r>
      <w:r w:rsidRPr="0009710D">
        <w:rPr>
          <w:rFonts w:ascii="Tahoma" w:hAnsi="Tahoma" w:cs="Tahoma"/>
        </w:rPr>
        <w:t>)</w:t>
      </w:r>
    </w:p>
    <w:p w:rsidR="0009710D" w:rsidRPr="0009710D" w:rsidRDefault="0009710D" w:rsidP="0009710D">
      <w:pPr>
        <w:pStyle w:val="ListParagraph"/>
        <w:rPr>
          <w:rFonts w:ascii="Tahoma" w:hAnsi="Tahoma" w:cs="Tahoma"/>
        </w:rPr>
      </w:pPr>
    </w:p>
    <w:p w:rsidR="00E3715B" w:rsidRPr="000F77EE" w:rsidRDefault="000B3724" w:rsidP="00E3715B">
      <w:pPr>
        <w:ind w:left="720" w:hanging="360"/>
        <w:rPr>
          <w:rFonts w:ascii="Tahoma" w:hAnsi="Tahoma" w:cs="Tahoma"/>
        </w:rPr>
      </w:pPr>
      <w:r w:rsidRPr="000F77EE">
        <w:rPr>
          <w:rFonts w:ascii="Tahoma" w:hAnsi="Tahoma" w:cs="Tahoma"/>
        </w:rPr>
        <w:t>4.  </w:t>
      </w:r>
      <w:r w:rsidR="00E3715B" w:rsidRPr="000F77EE">
        <w:rPr>
          <w:rFonts w:ascii="Tahoma" w:hAnsi="Tahoma" w:cs="Tahoma"/>
        </w:rPr>
        <w:t xml:space="preserve">Towns that have not </w:t>
      </w:r>
      <w:r w:rsidR="000F77EE" w:rsidRPr="000F77EE">
        <w:rPr>
          <w:rFonts w:ascii="Tahoma" w:hAnsi="Tahoma" w:cs="Tahoma"/>
        </w:rPr>
        <w:t xml:space="preserve">conducted studies or identified potential IHZs or adopted zones </w:t>
      </w:r>
      <w:r w:rsidR="00E3715B" w:rsidRPr="000F77EE">
        <w:rPr>
          <w:rFonts w:ascii="Tahoma" w:hAnsi="Tahoma" w:cs="Tahoma"/>
        </w:rPr>
        <w:t>but can demonstrate (a) realistic municipal and/or devel</w:t>
      </w:r>
      <w:r w:rsidR="001216E7">
        <w:rPr>
          <w:rFonts w:ascii="Tahoma" w:hAnsi="Tahoma" w:cs="Tahoma"/>
        </w:rPr>
        <w:t>oper interest, and (b) how Pre-dev</w:t>
      </w:r>
      <w:r w:rsidR="00E3715B" w:rsidRPr="000F77EE">
        <w:rPr>
          <w:rFonts w:ascii="Tahoma" w:hAnsi="Tahoma" w:cs="Tahoma"/>
        </w:rPr>
        <w:t xml:space="preserve"> funding will lead within 6 months to </w:t>
      </w:r>
      <w:proofErr w:type="gramStart"/>
      <w:r w:rsidR="00E3715B" w:rsidRPr="000F77EE">
        <w:rPr>
          <w:rFonts w:ascii="Tahoma" w:hAnsi="Tahoma" w:cs="Tahoma"/>
        </w:rPr>
        <w:t>adopted</w:t>
      </w:r>
      <w:proofErr w:type="gramEnd"/>
      <w:r w:rsidR="00E3715B" w:rsidRPr="000F77EE">
        <w:rPr>
          <w:rFonts w:ascii="Tahoma" w:hAnsi="Tahoma" w:cs="Tahoma"/>
        </w:rPr>
        <w:t xml:space="preserve"> IHZ.</w:t>
      </w:r>
    </w:p>
    <w:p w:rsidR="00E3715B" w:rsidRPr="000F77EE" w:rsidRDefault="00E3715B" w:rsidP="00E3715B">
      <w:pPr>
        <w:rPr>
          <w:rFonts w:ascii="Tahoma" w:hAnsi="Tahoma" w:cs="Tahoma"/>
        </w:rPr>
      </w:pPr>
      <w:r w:rsidRPr="000F77EE">
        <w:rPr>
          <w:rFonts w:ascii="Tahoma" w:hAnsi="Tahoma" w:cs="Tahoma"/>
        </w:rPr>
        <w:t> </w:t>
      </w:r>
    </w:p>
    <w:p w:rsidR="00E3715B" w:rsidRDefault="00E3715B" w:rsidP="00E3715B">
      <w:pPr>
        <w:rPr>
          <w:rFonts w:ascii="Tahoma" w:hAnsi="Tahoma" w:cs="Tahoma"/>
        </w:rPr>
      </w:pPr>
      <w:r w:rsidRPr="000F77EE">
        <w:rPr>
          <w:rFonts w:ascii="Tahoma" w:hAnsi="Tahoma" w:cs="Tahoma"/>
        </w:rPr>
        <w:t xml:space="preserve">** - It is assumed that these towns have already received </w:t>
      </w:r>
      <w:r w:rsidR="00F469A5">
        <w:t>DOH</w:t>
      </w:r>
      <w:r w:rsidRPr="000F77EE">
        <w:rPr>
          <w:rFonts w:ascii="Tahoma" w:hAnsi="Tahoma" w:cs="Tahoma"/>
        </w:rPr>
        <w:t xml:space="preserve"> funds under Technical Assistance Phase and have prepared these documents </w:t>
      </w:r>
      <w:r w:rsidR="00F86EA2">
        <w:rPr>
          <w:rFonts w:ascii="Tahoma" w:hAnsi="Tahoma" w:cs="Tahoma"/>
        </w:rPr>
        <w:t xml:space="preserve">or have already spent local funds and cannot seek reimbursement for such costs.  However, these municipalities </w:t>
      </w:r>
      <w:r w:rsidRPr="000F77EE">
        <w:rPr>
          <w:rFonts w:ascii="Tahoma" w:hAnsi="Tahoma" w:cs="Tahoma"/>
        </w:rPr>
        <w:t xml:space="preserve">are eligible for </w:t>
      </w:r>
      <w:r w:rsidR="000F77EE">
        <w:rPr>
          <w:rFonts w:ascii="Tahoma" w:hAnsi="Tahoma" w:cs="Tahoma"/>
        </w:rPr>
        <w:t>Phase II</w:t>
      </w:r>
      <w:r w:rsidRPr="000F77EE">
        <w:rPr>
          <w:rFonts w:ascii="Tahoma" w:hAnsi="Tahoma" w:cs="Tahoma"/>
        </w:rPr>
        <w:t xml:space="preserve"> pre-dev costs such as land purchase options, planning/design costs, </w:t>
      </w:r>
      <w:r w:rsidR="008C08D4">
        <w:rPr>
          <w:rFonts w:ascii="Tahoma" w:hAnsi="Tahoma" w:cs="Tahoma"/>
        </w:rPr>
        <w:t xml:space="preserve">certain preliminary engineering costs, </w:t>
      </w:r>
      <w:r w:rsidRPr="000F77EE">
        <w:rPr>
          <w:rFonts w:ascii="Tahoma" w:hAnsi="Tahoma" w:cs="Tahoma"/>
        </w:rPr>
        <w:t xml:space="preserve">appraisals, legal and financial expenses, costs of permits and approvals, and other preliminary project costs as approved by the </w:t>
      </w:r>
      <w:r w:rsidR="00F469A5">
        <w:t>Commissioner</w:t>
      </w:r>
      <w:r w:rsidRPr="000F77EE">
        <w:rPr>
          <w:rFonts w:ascii="Tahoma" w:hAnsi="Tahoma" w:cs="Tahoma"/>
        </w:rPr>
        <w:t>.</w:t>
      </w:r>
    </w:p>
    <w:p w:rsidR="00F86EA2" w:rsidRDefault="00F86EA2" w:rsidP="00E3715B">
      <w:pPr>
        <w:rPr>
          <w:rFonts w:ascii="Tahoma" w:hAnsi="Tahoma" w:cs="Tahoma"/>
        </w:rPr>
      </w:pPr>
    </w:p>
    <w:p w:rsidR="00F86EA2" w:rsidRPr="000F77EE" w:rsidRDefault="00F86EA2" w:rsidP="00E3715B">
      <w:pPr>
        <w:rPr>
          <w:rFonts w:ascii="Tahoma" w:hAnsi="Tahoma" w:cs="Tahoma"/>
        </w:rPr>
      </w:pPr>
      <w:r w:rsidRPr="00F86EA2">
        <w:rPr>
          <w:rFonts w:ascii="Tahoma" w:hAnsi="Tahoma" w:cs="Tahoma"/>
          <w:u w:val="single"/>
        </w:rPr>
        <w:t>NOTE:</w:t>
      </w:r>
      <w:r>
        <w:rPr>
          <w:rFonts w:ascii="Tahoma" w:hAnsi="Tahoma" w:cs="Tahoma"/>
        </w:rPr>
        <w:t xml:space="preserve">  Adopted IHZs must meet the statutory requirements in order to be eligible.</w:t>
      </w:r>
    </w:p>
    <w:p w:rsidR="00E3715B" w:rsidRPr="000F77EE" w:rsidRDefault="00E3715B" w:rsidP="00E3715B">
      <w:pPr>
        <w:rPr>
          <w:rFonts w:ascii="Tahoma" w:hAnsi="Tahoma" w:cs="Tahoma"/>
        </w:rPr>
      </w:pPr>
    </w:p>
    <w:p w:rsidR="00E3715B" w:rsidRPr="000F77EE" w:rsidRDefault="00E3715B" w:rsidP="00E3715B">
      <w:pPr>
        <w:rPr>
          <w:rFonts w:ascii="Tahoma" w:hAnsi="Tahoma" w:cs="Tahoma"/>
          <w:b/>
          <w:bCs/>
        </w:rPr>
      </w:pPr>
      <w:r w:rsidRPr="000F77EE">
        <w:rPr>
          <w:rFonts w:ascii="Tahoma" w:hAnsi="Tahoma" w:cs="Tahoma"/>
          <w:b/>
          <w:bCs/>
        </w:rPr>
        <w:t>Potential Pre-D</w:t>
      </w:r>
      <w:r w:rsidR="00B80EAB">
        <w:rPr>
          <w:rFonts w:ascii="Tahoma" w:hAnsi="Tahoma" w:cs="Tahoma"/>
          <w:b/>
          <w:bCs/>
        </w:rPr>
        <w:t>evelopment uses:</w:t>
      </w:r>
    </w:p>
    <w:p w:rsidR="00E3715B" w:rsidRPr="000F77EE" w:rsidRDefault="00E3715B" w:rsidP="00E3715B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0F77EE">
        <w:rPr>
          <w:rFonts w:ascii="Tahoma" w:hAnsi="Tahoma" w:cs="Tahoma"/>
        </w:rPr>
        <w:t>Legal/planning expenses for drafting of zone or design regulations</w:t>
      </w:r>
    </w:p>
    <w:p w:rsidR="00E3715B" w:rsidRPr="000F77EE" w:rsidRDefault="00F72512" w:rsidP="00E3715B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Certain Preliminary </w:t>
      </w:r>
      <w:r w:rsidR="00E3715B" w:rsidRPr="000F77EE">
        <w:rPr>
          <w:rFonts w:ascii="Tahoma" w:hAnsi="Tahoma" w:cs="Tahoma"/>
        </w:rPr>
        <w:t>Engineering expenses that will permit capital, remediation or financing to move forward toward creation of the zone</w:t>
      </w:r>
    </w:p>
    <w:p w:rsidR="00E3715B" w:rsidRPr="000F77EE" w:rsidRDefault="00E3715B" w:rsidP="00E3715B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0F77EE">
        <w:rPr>
          <w:rFonts w:ascii="Tahoma" w:hAnsi="Tahoma" w:cs="Tahoma"/>
        </w:rPr>
        <w:t>land purchase options</w:t>
      </w:r>
    </w:p>
    <w:p w:rsidR="00E3715B" w:rsidRPr="000F77EE" w:rsidRDefault="00E3715B" w:rsidP="00E3715B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0F77EE">
        <w:rPr>
          <w:rFonts w:ascii="Tahoma" w:hAnsi="Tahoma" w:cs="Tahoma"/>
        </w:rPr>
        <w:t>planning/design costs</w:t>
      </w:r>
    </w:p>
    <w:p w:rsidR="00E3715B" w:rsidRPr="000F77EE" w:rsidRDefault="00E3715B" w:rsidP="00E3715B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0F77EE">
        <w:rPr>
          <w:rFonts w:ascii="Tahoma" w:hAnsi="Tahoma" w:cs="Tahoma"/>
        </w:rPr>
        <w:t>appraisals</w:t>
      </w:r>
    </w:p>
    <w:p w:rsidR="00E3715B" w:rsidRPr="000F77EE" w:rsidRDefault="00E3715B" w:rsidP="00E3715B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0F77EE">
        <w:rPr>
          <w:rFonts w:ascii="Tahoma" w:hAnsi="Tahoma" w:cs="Tahoma"/>
        </w:rPr>
        <w:t>legal and financial expenses</w:t>
      </w:r>
    </w:p>
    <w:p w:rsidR="00E3715B" w:rsidRPr="000F77EE" w:rsidRDefault="00E3715B" w:rsidP="00E3715B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0F77EE">
        <w:rPr>
          <w:rFonts w:ascii="Tahoma" w:hAnsi="Tahoma" w:cs="Tahoma"/>
        </w:rPr>
        <w:t>costs of permits and approvals</w:t>
      </w:r>
    </w:p>
    <w:p w:rsidR="0061512B" w:rsidRDefault="00E3715B" w:rsidP="000F77EE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0F77EE">
        <w:rPr>
          <w:rFonts w:ascii="Tahoma" w:hAnsi="Tahoma" w:cs="Tahoma"/>
        </w:rPr>
        <w:t xml:space="preserve">and other preliminary project costs as approved by the </w:t>
      </w:r>
      <w:r w:rsidR="00F469A5">
        <w:t>Commissioner</w:t>
      </w:r>
    </w:p>
    <w:p w:rsidR="008D04B1" w:rsidRDefault="008D04B1" w:rsidP="008D04B1">
      <w:pPr>
        <w:rPr>
          <w:rFonts w:ascii="Tahoma" w:hAnsi="Tahoma" w:cs="Tahoma"/>
        </w:rPr>
      </w:pPr>
    </w:p>
    <w:p w:rsidR="008D04B1" w:rsidRPr="001216E7" w:rsidRDefault="008D04B1" w:rsidP="008D04B1">
      <w:pPr>
        <w:rPr>
          <w:rFonts w:ascii="Tahoma" w:hAnsi="Tahoma" w:cs="Tahoma"/>
          <w:color w:val="000000" w:themeColor="text1"/>
        </w:rPr>
      </w:pPr>
      <w:r w:rsidRPr="001216E7">
        <w:rPr>
          <w:rFonts w:ascii="Tahoma" w:hAnsi="Tahoma" w:cs="Tahoma"/>
          <w:color w:val="000000" w:themeColor="text1"/>
          <w:u w:val="single"/>
        </w:rPr>
        <w:t>NOTE:</w:t>
      </w:r>
      <w:r w:rsidRPr="001216E7">
        <w:rPr>
          <w:rFonts w:ascii="Tahoma" w:hAnsi="Tahoma" w:cs="Tahoma"/>
          <w:color w:val="000000" w:themeColor="text1"/>
        </w:rPr>
        <w:t xml:space="preserve">  </w:t>
      </w:r>
      <w:r w:rsidR="00F469A5">
        <w:t>DOH</w:t>
      </w:r>
      <w:r w:rsidRPr="001216E7">
        <w:rPr>
          <w:rFonts w:ascii="Tahoma" w:hAnsi="Tahoma" w:cs="Tahoma"/>
          <w:color w:val="000000" w:themeColor="text1"/>
        </w:rPr>
        <w:t xml:space="preserve"> may put a</w:t>
      </w:r>
      <w:r w:rsidR="00B225D0" w:rsidRPr="001216E7">
        <w:rPr>
          <w:rFonts w:ascii="Tahoma" w:hAnsi="Tahoma" w:cs="Tahoma"/>
          <w:color w:val="000000" w:themeColor="text1"/>
        </w:rPr>
        <w:t>n overall</w:t>
      </w:r>
      <w:r w:rsidRPr="001216E7">
        <w:rPr>
          <w:rFonts w:ascii="Tahoma" w:hAnsi="Tahoma" w:cs="Tahoma"/>
          <w:color w:val="000000" w:themeColor="text1"/>
        </w:rPr>
        <w:t xml:space="preserve"> </w:t>
      </w:r>
      <w:r w:rsidR="00B225D0" w:rsidRPr="001216E7">
        <w:rPr>
          <w:rFonts w:ascii="Tahoma" w:hAnsi="Tahoma" w:cs="Tahoma"/>
          <w:color w:val="000000" w:themeColor="text1"/>
        </w:rPr>
        <w:t xml:space="preserve">funding </w:t>
      </w:r>
      <w:r w:rsidRPr="001216E7">
        <w:rPr>
          <w:rFonts w:ascii="Tahoma" w:hAnsi="Tahoma" w:cs="Tahoma"/>
          <w:color w:val="000000" w:themeColor="text1"/>
        </w:rPr>
        <w:t xml:space="preserve">cap </w:t>
      </w:r>
      <w:r w:rsidR="00B225D0" w:rsidRPr="001216E7">
        <w:rPr>
          <w:rFonts w:ascii="Tahoma" w:hAnsi="Tahoma" w:cs="Tahoma"/>
          <w:color w:val="000000" w:themeColor="text1"/>
        </w:rPr>
        <w:t xml:space="preserve">available for each of </w:t>
      </w:r>
      <w:r w:rsidRPr="001216E7">
        <w:rPr>
          <w:rFonts w:ascii="Tahoma" w:hAnsi="Tahoma" w:cs="Tahoma"/>
          <w:color w:val="000000" w:themeColor="text1"/>
        </w:rPr>
        <w:t>the Phase I and Phase II Pre-dev costs depending on the interest in the program and available funds at any given time.</w:t>
      </w:r>
    </w:p>
    <w:sectPr w:rsidR="008D04B1" w:rsidRPr="001216E7" w:rsidSect="00615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D0CB7"/>
    <w:multiLevelType w:val="hybridMultilevel"/>
    <w:tmpl w:val="3C225254"/>
    <w:lvl w:ilvl="0" w:tplc="04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315EEF"/>
    <w:multiLevelType w:val="hybridMultilevel"/>
    <w:tmpl w:val="40C08F62"/>
    <w:lvl w:ilvl="0" w:tplc="CFE629FE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1290AFA"/>
    <w:multiLevelType w:val="hybridMultilevel"/>
    <w:tmpl w:val="81844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901E5F"/>
    <w:multiLevelType w:val="hybridMultilevel"/>
    <w:tmpl w:val="3C2CB1A0"/>
    <w:lvl w:ilvl="0" w:tplc="5BA2C9A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7JDjPz0WhDr4+l6mBCz5Dh29Zc4=" w:salt="IjZbfFoeBPX1/VythJjXwQ=="/>
  <w:defaultTabStop w:val="720"/>
  <w:characterSpacingControl w:val="doNotCompress"/>
  <w:compat/>
  <w:rsids>
    <w:rsidRoot w:val="00E3715B"/>
    <w:rsid w:val="00093DF2"/>
    <w:rsid w:val="0009710D"/>
    <w:rsid w:val="000B3724"/>
    <w:rsid w:val="000F77EE"/>
    <w:rsid w:val="00112752"/>
    <w:rsid w:val="001216E7"/>
    <w:rsid w:val="001276EA"/>
    <w:rsid w:val="001F427A"/>
    <w:rsid w:val="0024595D"/>
    <w:rsid w:val="002C0DA8"/>
    <w:rsid w:val="00372727"/>
    <w:rsid w:val="003D1AE2"/>
    <w:rsid w:val="00417D22"/>
    <w:rsid w:val="0054773D"/>
    <w:rsid w:val="005A1D3A"/>
    <w:rsid w:val="0061512B"/>
    <w:rsid w:val="0065556F"/>
    <w:rsid w:val="00733625"/>
    <w:rsid w:val="008C08D4"/>
    <w:rsid w:val="008D04B1"/>
    <w:rsid w:val="00901C05"/>
    <w:rsid w:val="00946A49"/>
    <w:rsid w:val="009B19FD"/>
    <w:rsid w:val="009F3891"/>
    <w:rsid w:val="00A12912"/>
    <w:rsid w:val="00A9198B"/>
    <w:rsid w:val="00B225D0"/>
    <w:rsid w:val="00B44266"/>
    <w:rsid w:val="00B80EAB"/>
    <w:rsid w:val="00C55BCA"/>
    <w:rsid w:val="00C6109A"/>
    <w:rsid w:val="00C72FD8"/>
    <w:rsid w:val="00CF0835"/>
    <w:rsid w:val="00CF7C22"/>
    <w:rsid w:val="00DC0E50"/>
    <w:rsid w:val="00E3715B"/>
    <w:rsid w:val="00ED646E"/>
    <w:rsid w:val="00EE7A59"/>
    <w:rsid w:val="00F26EB8"/>
    <w:rsid w:val="00F469A5"/>
    <w:rsid w:val="00F72512"/>
    <w:rsid w:val="00F86EA2"/>
    <w:rsid w:val="00FC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15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5B"/>
    <w:pPr>
      <w:ind w:left="720"/>
    </w:pPr>
  </w:style>
  <w:style w:type="paragraph" w:styleId="MessageHeader">
    <w:name w:val="Message Header"/>
    <w:basedOn w:val="BodyText"/>
    <w:link w:val="MessageHeaderChar"/>
    <w:rsid w:val="00E3715B"/>
    <w:pPr>
      <w:keepLines/>
      <w:spacing w:line="240" w:lineRule="atLeast"/>
      <w:ind w:left="1080" w:hanging="1080"/>
    </w:pPr>
    <w:rPr>
      <w:rFonts w:ascii="Garamond" w:eastAsia="Times New Roman" w:hAnsi="Garamond"/>
      <w:caps/>
      <w:sz w:val="18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3715B"/>
    <w:rPr>
      <w:rFonts w:ascii="Garamond" w:eastAsia="Times New Roman" w:hAnsi="Garamond" w:cs="Times New Roman"/>
      <w:caps/>
      <w:sz w:val="18"/>
      <w:szCs w:val="24"/>
    </w:rPr>
  </w:style>
  <w:style w:type="character" w:customStyle="1" w:styleId="MessageHeaderLabel">
    <w:name w:val="Message Header Label"/>
    <w:rsid w:val="00E3715B"/>
    <w:rPr>
      <w:b/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E371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715B"/>
    <w:rPr>
      <w:rFonts w:ascii="Calibri" w:hAnsi="Calibri" w:cs="Times New Roman"/>
    </w:rPr>
  </w:style>
  <w:style w:type="paragraph" w:styleId="NoSpacing">
    <w:name w:val="No Spacing"/>
    <w:uiPriority w:val="1"/>
    <w:qFormat/>
    <w:rsid w:val="00F469A5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91F83-FAA2-4A68-9AA0-44312971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Connecticut-Office of Policy &amp; Management</Company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Dimple Desai</dc:creator>
  <cp:keywords/>
  <dc:description/>
  <cp:lastModifiedBy>desaid</cp:lastModifiedBy>
  <cp:revision>2</cp:revision>
  <cp:lastPrinted>2012-10-16T18:02:00Z</cp:lastPrinted>
  <dcterms:created xsi:type="dcterms:W3CDTF">2013-10-03T20:18:00Z</dcterms:created>
  <dcterms:modified xsi:type="dcterms:W3CDTF">2013-10-03T20:18:00Z</dcterms:modified>
</cp:coreProperties>
</file>