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3FBBC" w14:textId="77777777" w:rsidR="00C1180A" w:rsidRDefault="00CA7EDA">
      <w:pPr>
        <w:pStyle w:val="BodyText"/>
        <w:spacing w:before="41" w:line="247" w:lineRule="auto"/>
        <w:ind w:left="3244" w:right="3242" w:hanging="3"/>
        <w:jc w:val="center"/>
      </w:pPr>
      <w:r>
        <w:t>STATE OF CONNECTICUT DEPARTMENT OF</w:t>
      </w:r>
      <w:r>
        <w:rPr>
          <w:spacing w:val="-19"/>
        </w:rPr>
        <w:t xml:space="preserve"> </w:t>
      </w:r>
      <w:r>
        <w:t>HOUSING SMALL CITIES PROGRAM GUIDEFORM</w:t>
      </w:r>
    </w:p>
    <w:p w14:paraId="3443FBBD" w14:textId="77777777" w:rsidR="00C1180A" w:rsidRDefault="00C1180A">
      <w:pPr>
        <w:pStyle w:val="BodyText"/>
        <w:spacing w:before="11"/>
      </w:pPr>
    </w:p>
    <w:p w14:paraId="3443FBBE" w14:textId="77777777" w:rsidR="00C1180A" w:rsidRDefault="00CA7EDA">
      <w:pPr>
        <w:pStyle w:val="Heading1"/>
        <w:spacing w:line="247" w:lineRule="auto"/>
      </w:pPr>
      <w:r>
        <w:t>Certification of Compliance with the Requirements of 24 CFR 570.606 and the Residential Anti-Displacement and Relocation Assistance Plan Required by 24 CFR 42.325</w:t>
      </w:r>
    </w:p>
    <w:p w14:paraId="3443FBBF" w14:textId="77777777" w:rsidR="00C1180A" w:rsidRDefault="00C1180A">
      <w:pPr>
        <w:pStyle w:val="BodyText"/>
        <w:spacing w:before="1"/>
        <w:rPr>
          <w:b/>
        </w:rPr>
      </w:pPr>
    </w:p>
    <w:p w14:paraId="3443FBC0" w14:textId="77777777" w:rsidR="00C1180A" w:rsidRDefault="00CA7EDA">
      <w:pPr>
        <w:pStyle w:val="BodyText"/>
        <w:tabs>
          <w:tab w:val="left" w:pos="6419"/>
          <w:tab w:val="left" w:pos="6512"/>
        </w:tabs>
        <w:spacing w:line="247" w:lineRule="auto"/>
        <w:ind w:left="119" w:right="164"/>
      </w:pPr>
      <w:r>
        <w:t>This is to certify</w:t>
      </w:r>
      <w:r>
        <w:rPr>
          <w:spacing w:val="-12"/>
        </w:rPr>
        <w:t xml:space="preserve"> </w:t>
      </w:r>
      <w:r>
        <w:t>that</w:t>
      </w:r>
      <w:r>
        <w:rPr>
          <w:spacing w:val="-2"/>
        </w:rPr>
        <w:t xml:space="preserve"> </w:t>
      </w:r>
      <w:r>
        <w:t>the</w:t>
      </w:r>
      <w:r>
        <w:rPr>
          <w:u w:val="single"/>
        </w:rPr>
        <w:t xml:space="preserve"> </w:t>
      </w:r>
      <w:r>
        <w:rPr>
          <w:u w:val="single"/>
        </w:rPr>
        <w:tab/>
      </w:r>
      <w:r>
        <w:t>will comply</w:t>
      </w:r>
      <w:r>
        <w:rPr>
          <w:spacing w:val="-11"/>
        </w:rPr>
        <w:t xml:space="preserve"> </w:t>
      </w:r>
      <w:r>
        <w:t>with</w:t>
      </w:r>
      <w:r>
        <w:rPr>
          <w:spacing w:val="-3"/>
        </w:rPr>
        <w:t xml:space="preserve"> </w:t>
      </w:r>
      <w:r>
        <w:t>the</w:t>
      </w:r>
      <w:r>
        <w:rPr>
          <w:w w:val="99"/>
        </w:rPr>
        <w:t xml:space="preserve"> </w:t>
      </w:r>
      <w:r>
        <w:t>requirements of 24 CFR 570.606 with respect to the displacement, relocation, acquisition, and replacement of</w:t>
      </w:r>
      <w:r>
        <w:rPr>
          <w:spacing w:val="-6"/>
        </w:rPr>
        <w:t xml:space="preserve"> </w:t>
      </w:r>
      <w:r>
        <w:t>housing.</w:t>
      </w:r>
      <w:r>
        <w:rPr>
          <w:spacing w:val="55"/>
        </w:rPr>
        <w:t xml:space="preserve"> </w:t>
      </w:r>
      <w:r>
        <w:t>The</w:t>
      </w:r>
      <w:r>
        <w:rPr>
          <w:u w:val="single"/>
        </w:rPr>
        <w:t xml:space="preserve"> </w:t>
      </w:r>
      <w:r>
        <w:rPr>
          <w:u w:val="single"/>
        </w:rPr>
        <w:tab/>
      </w:r>
      <w:r>
        <w:rPr>
          <w:u w:val="single"/>
        </w:rPr>
        <w:tab/>
      </w:r>
      <w:r>
        <w:t>will take the</w:t>
      </w:r>
      <w:r>
        <w:rPr>
          <w:spacing w:val="-11"/>
        </w:rPr>
        <w:t xml:space="preserve"> </w:t>
      </w:r>
      <w:r>
        <w:t>following</w:t>
      </w:r>
      <w:r>
        <w:rPr>
          <w:spacing w:val="-6"/>
        </w:rPr>
        <w:t xml:space="preserve"> </w:t>
      </w:r>
      <w:r>
        <w:t>actions</w:t>
      </w:r>
      <w:r>
        <w:rPr>
          <w:w w:val="99"/>
        </w:rPr>
        <w:t xml:space="preserve"> </w:t>
      </w:r>
      <w:r>
        <w:t>to comply with these</w:t>
      </w:r>
      <w:r>
        <w:rPr>
          <w:spacing w:val="-22"/>
        </w:rPr>
        <w:t xml:space="preserve"> </w:t>
      </w:r>
      <w:r>
        <w:t>requirements:</w:t>
      </w:r>
    </w:p>
    <w:p w14:paraId="3443FBC1" w14:textId="77777777" w:rsidR="00C1180A" w:rsidRDefault="00C1180A">
      <w:pPr>
        <w:pStyle w:val="BodyText"/>
        <w:spacing w:before="6"/>
      </w:pPr>
    </w:p>
    <w:p w14:paraId="3443FBC2" w14:textId="77777777" w:rsidR="00C1180A" w:rsidRDefault="00CA7EDA">
      <w:pPr>
        <w:pStyle w:val="BodyText"/>
        <w:ind w:left="119" w:right="118"/>
      </w:pPr>
      <w:r>
        <w:t>Minimizing Displacement</w:t>
      </w:r>
    </w:p>
    <w:p w14:paraId="3443FBC3" w14:textId="77777777" w:rsidR="00C1180A" w:rsidRDefault="00C1180A">
      <w:pPr>
        <w:pStyle w:val="BodyText"/>
        <w:spacing w:before="2"/>
        <w:rPr>
          <w:sz w:val="25"/>
        </w:rPr>
      </w:pPr>
    </w:p>
    <w:p w14:paraId="3443FBC4" w14:textId="77777777" w:rsidR="00C1180A" w:rsidRDefault="00CA7EDA">
      <w:pPr>
        <w:pStyle w:val="BodyText"/>
        <w:tabs>
          <w:tab w:val="left" w:pos="8708"/>
        </w:tabs>
        <w:spacing w:before="1" w:line="247" w:lineRule="auto"/>
        <w:ind w:left="119" w:right="310"/>
      </w:pPr>
      <w:r>
        <w:t>Consistent with the goals and objectives of 24 CFR part</w:t>
      </w:r>
      <w:r>
        <w:rPr>
          <w:spacing w:val="-18"/>
        </w:rPr>
        <w:t xml:space="preserve"> </w:t>
      </w:r>
      <w:r>
        <w:t>570,</w:t>
      </w:r>
      <w:r>
        <w:rPr>
          <w:spacing w:val="-2"/>
        </w:rPr>
        <w:t xml:space="preserve"> </w:t>
      </w:r>
      <w:r>
        <w:t>the</w:t>
      </w:r>
      <w:r>
        <w:rPr>
          <w:u w:val="single"/>
        </w:rPr>
        <w:t xml:space="preserve"> </w:t>
      </w:r>
      <w:r>
        <w:rPr>
          <w:u w:val="single"/>
        </w:rPr>
        <w:tab/>
      </w:r>
      <w:r>
        <w:t>will take the following steps to minimize displacement of persons (families, individuals,</w:t>
      </w:r>
      <w:r>
        <w:rPr>
          <w:spacing w:val="-37"/>
        </w:rPr>
        <w:t xml:space="preserve"> </w:t>
      </w:r>
      <w:r>
        <w:t>businesses, nonprofit organizations, and farms) as a result of activities assisted under that</w:t>
      </w:r>
      <w:r>
        <w:rPr>
          <w:spacing w:val="-40"/>
        </w:rPr>
        <w:t xml:space="preserve"> </w:t>
      </w:r>
      <w:r>
        <w:t>part:</w:t>
      </w:r>
    </w:p>
    <w:p w14:paraId="3443FBC5" w14:textId="77777777" w:rsidR="00C1180A" w:rsidRDefault="00C1180A">
      <w:pPr>
        <w:pStyle w:val="BodyText"/>
        <w:spacing w:before="6"/>
      </w:pPr>
    </w:p>
    <w:p w14:paraId="3443FBC6" w14:textId="77777777" w:rsidR="00C1180A" w:rsidRDefault="00CA7EDA">
      <w:pPr>
        <w:pStyle w:val="BodyText"/>
        <w:ind w:left="2279" w:right="118"/>
      </w:pPr>
      <w:r>
        <w:t>(To be completed by the Grantee)</w:t>
      </w:r>
    </w:p>
    <w:p w14:paraId="3443FBC7" w14:textId="77777777" w:rsidR="00C1180A" w:rsidRDefault="00C1180A">
      <w:pPr>
        <w:pStyle w:val="BodyText"/>
        <w:spacing w:before="2"/>
        <w:rPr>
          <w:sz w:val="25"/>
        </w:rPr>
      </w:pPr>
    </w:p>
    <w:p w14:paraId="3443FBC8" w14:textId="77777777" w:rsidR="00C1180A" w:rsidRDefault="00CA7EDA">
      <w:pPr>
        <w:pStyle w:val="BodyText"/>
        <w:tabs>
          <w:tab w:val="left" w:pos="8454"/>
        </w:tabs>
        <w:spacing w:before="1"/>
        <w:ind w:left="119" w:right="118"/>
      </w:pPr>
      <w:r>
        <w:t xml:space="preserve">1)  </w:t>
      </w:r>
      <w:r>
        <w:rPr>
          <w:spacing w:val="-20"/>
        </w:rPr>
        <w:t xml:space="preserve"> </w:t>
      </w:r>
      <w:r>
        <w:rPr>
          <w:w w:val="99"/>
          <w:u w:val="single"/>
        </w:rPr>
        <w:t xml:space="preserve"> </w:t>
      </w:r>
      <w:r>
        <w:rPr>
          <w:u w:val="single"/>
        </w:rPr>
        <w:tab/>
      </w:r>
    </w:p>
    <w:p w14:paraId="3443FBC9" w14:textId="77777777" w:rsidR="00C1180A" w:rsidRDefault="00C1180A">
      <w:pPr>
        <w:pStyle w:val="BodyText"/>
        <w:spacing w:before="11"/>
        <w:rPr>
          <w:sz w:val="19"/>
        </w:rPr>
      </w:pPr>
    </w:p>
    <w:p w14:paraId="3443FBCA" w14:textId="77777777" w:rsidR="00C1180A" w:rsidRDefault="00CA7EDA">
      <w:pPr>
        <w:pStyle w:val="BodyText"/>
        <w:tabs>
          <w:tab w:val="left" w:pos="8454"/>
        </w:tabs>
        <w:spacing w:before="61"/>
        <w:ind w:left="120" w:right="118"/>
      </w:pPr>
      <w:r>
        <w:t xml:space="preserve">2)  </w:t>
      </w:r>
      <w:r>
        <w:rPr>
          <w:spacing w:val="-20"/>
        </w:rPr>
        <w:t xml:space="preserve"> </w:t>
      </w:r>
      <w:r>
        <w:rPr>
          <w:w w:val="99"/>
          <w:u w:val="single"/>
        </w:rPr>
        <w:t xml:space="preserve"> </w:t>
      </w:r>
      <w:r>
        <w:rPr>
          <w:u w:val="single"/>
        </w:rPr>
        <w:tab/>
      </w:r>
    </w:p>
    <w:p w14:paraId="3443FBCB" w14:textId="77777777" w:rsidR="00C1180A" w:rsidRDefault="00C1180A">
      <w:pPr>
        <w:pStyle w:val="BodyText"/>
        <w:spacing w:before="11"/>
        <w:rPr>
          <w:sz w:val="19"/>
        </w:rPr>
      </w:pPr>
    </w:p>
    <w:p w14:paraId="3443FBCC" w14:textId="77777777" w:rsidR="00C1180A" w:rsidRDefault="00CA7EDA">
      <w:pPr>
        <w:pStyle w:val="BodyText"/>
        <w:tabs>
          <w:tab w:val="left" w:pos="8454"/>
        </w:tabs>
        <w:spacing w:before="61"/>
        <w:ind w:left="120" w:right="118"/>
      </w:pPr>
      <w:r>
        <w:t xml:space="preserve">3)  </w:t>
      </w:r>
      <w:r>
        <w:rPr>
          <w:spacing w:val="-20"/>
        </w:rPr>
        <w:t xml:space="preserve"> </w:t>
      </w:r>
      <w:r>
        <w:rPr>
          <w:w w:val="99"/>
          <w:u w:val="single"/>
        </w:rPr>
        <w:t xml:space="preserve"> </w:t>
      </w:r>
      <w:r>
        <w:rPr>
          <w:u w:val="single"/>
        </w:rPr>
        <w:tab/>
      </w:r>
    </w:p>
    <w:p w14:paraId="3443FBCD" w14:textId="77777777" w:rsidR="00C1180A" w:rsidRDefault="00C1180A">
      <w:pPr>
        <w:pStyle w:val="BodyText"/>
        <w:spacing w:before="11"/>
        <w:rPr>
          <w:sz w:val="19"/>
        </w:rPr>
      </w:pPr>
    </w:p>
    <w:p w14:paraId="3443FBCE" w14:textId="77777777" w:rsidR="00C1180A" w:rsidRDefault="00CA7EDA">
      <w:pPr>
        <w:pStyle w:val="BodyText"/>
        <w:tabs>
          <w:tab w:val="left" w:pos="4806"/>
        </w:tabs>
        <w:spacing w:before="61" w:line="247" w:lineRule="auto"/>
        <w:ind w:left="120" w:right="552"/>
      </w:pPr>
      <w:r>
        <w:t>The</w:t>
      </w:r>
      <w:r>
        <w:rPr>
          <w:u w:val="single"/>
        </w:rPr>
        <w:t xml:space="preserve"> </w:t>
      </w:r>
      <w:r>
        <w:rPr>
          <w:u w:val="single"/>
        </w:rPr>
        <w:tab/>
      </w:r>
      <w:r>
        <w:t>will review all projects funded by</w:t>
      </w:r>
      <w:r>
        <w:rPr>
          <w:spacing w:val="-25"/>
        </w:rPr>
        <w:t xml:space="preserve"> </w:t>
      </w:r>
      <w:r>
        <w:t>its</w:t>
      </w:r>
      <w:r>
        <w:rPr>
          <w:spacing w:val="-3"/>
        </w:rPr>
        <w:t xml:space="preserve"> </w:t>
      </w:r>
      <w:r>
        <w:t>CDBG</w:t>
      </w:r>
      <w:r>
        <w:rPr>
          <w:w w:val="99"/>
        </w:rPr>
        <w:t xml:space="preserve"> </w:t>
      </w:r>
      <w:r>
        <w:t>grant for potential displacement</w:t>
      </w:r>
      <w:r>
        <w:rPr>
          <w:spacing w:val="-22"/>
        </w:rPr>
        <w:t xml:space="preserve"> </w:t>
      </w:r>
      <w:r>
        <w:t>impact.</w:t>
      </w:r>
    </w:p>
    <w:p w14:paraId="3443FBCF" w14:textId="77777777" w:rsidR="00C1180A" w:rsidRDefault="00C1180A">
      <w:pPr>
        <w:pStyle w:val="BodyText"/>
        <w:spacing w:before="6"/>
      </w:pPr>
    </w:p>
    <w:p w14:paraId="3443FBD0" w14:textId="77777777" w:rsidR="00C1180A" w:rsidRDefault="00CA7EDA">
      <w:pPr>
        <w:pStyle w:val="BodyText"/>
        <w:tabs>
          <w:tab w:val="left" w:pos="8704"/>
        </w:tabs>
        <w:spacing w:line="247" w:lineRule="auto"/>
        <w:ind w:left="120" w:right="142"/>
      </w:pPr>
      <w:r>
        <w:rPr>
          <w:spacing w:val="-3"/>
        </w:rPr>
        <w:t xml:space="preserve">If </w:t>
      </w:r>
      <w:r>
        <w:t>a potential displacement impact is</w:t>
      </w:r>
      <w:r>
        <w:rPr>
          <w:spacing w:val="-11"/>
        </w:rPr>
        <w:t xml:space="preserve"> </w:t>
      </w:r>
      <w:r>
        <w:t>identified,</w:t>
      </w:r>
      <w:r>
        <w:rPr>
          <w:spacing w:val="-2"/>
        </w:rPr>
        <w:t xml:space="preserve"> </w:t>
      </w:r>
      <w:r>
        <w:t>the</w:t>
      </w:r>
      <w:r>
        <w:rPr>
          <w:u w:val="single"/>
        </w:rPr>
        <w:t xml:space="preserve"> </w:t>
      </w:r>
      <w:r>
        <w:rPr>
          <w:u w:val="single"/>
        </w:rPr>
        <w:tab/>
      </w:r>
      <w:r>
        <w:t>will provide adequate funds and resources either through CDBG funds or other means to meet the requirements of 49 CFR, part 24 (URA) or 24 CFR, part 42 (Section 104 (d), as applicable. The provisions of 49 CFR, part 24 (URA) and 24 CFR, part 42 (Section 104 (d)) are further</w:t>
      </w:r>
      <w:r>
        <w:rPr>
          <w:spacing w:val="-41"/>
        </w:rPr>
        <w:t xml:space="preserve"> </w:t>
      </w:r>
      <w:r>
        <w:t>described and clarified in HUD Handbook</w:t>
      </w:r>
      <w:r>
        <w:rPr>
          <w:spacing w:val="-18"/>
        </w:rPr>
        <w:t xml:space="preserve"> </w:t>
      </w:r>
      <w:r>
        <w:t>1378.</w:t>
      </w:r>
    </w:p>
    <w:p w14:paraId="3443FBD1" w14:textId="77777777" w:rsidR="00C1180A" w:rsidRDefault="00C1180A">
      <w:pPr>
        <w:pStyle w:val="BodyText"/>
        <w:spacing w:before="6"/>
      </w:pPr>
    </w:p>
    <w:p w14:paraId="3443FBD2" w14:textId="77777777" w:rsidR="00C1180A" w:rsidRDefault="00CA7EDA">
      <w:pPr>
        <w:pStyle w:val="BodyText"/>
        <w:tabs>
          <w:tab w:val="left" w:pos="4566"/>
        </w:tabs>
        <w:spacing w:line="247" w:lineRule="auto"/>
        <w:ind w:left="120" w:right="341"/>
      </w:pPr>
      <w:r>
        <w:t>The</w:t>
      </w:r>
      <w:r>
        <w:rPr>
          <w:u w:val="single"/>
        </w:rPr>
        <w:t xml:space="preserve"> </w:t>
      </w:r>
      <w:r>
        <w:rPr>
          <w:u w:val="single"/>
        </w:rPr>
        <w:tab/>
      </w:r>
      <w:r>
        <w:t>will maintain written documentation</w:t>
      </w:r>
      <w:r>
        <w:rPr>
          <w:spacing w:val="-15"/>
        </w:rPr>
        <w:t xml:space="preserve"> </w:t>
      </w:r>
      <w:r>
        <w:t>detailing</w:t>
      </w:r>
      <w:r>
        <w:rPr>
          <w:spacing w:val="-7"/>
        </w:rPr>
        <w:t xml:space="preserve"> </w:t>
      </w:r>
      <w:r>
        <w:t>its</w:t>
      </w:r>
      <w:r>
        <w:rPr>
          <w:w w:val="99"/>
        </w:rPr>
        <w:t xml:space="preserve"> </w:t>
      </w:r>
      <w:r>
        <w:t>review of all projects undertaken with CDBG funds with respect to displacement and/or relocation and will set forth the reason for its determinations in accordance with this</w:t>
      </w:r>
      <w:r>
        <w:rPr>
          <w:spacing w:val="-41"/>
        </w:rPr>
        <w:t xml:space="preserve"> </w:t>
      </w:r>
      <w:r>
        <w:t>Plan.</w:t>
      </w:r>
    </w:p>
    <w:p w14:paraId="3443FBD3" w14:textId="77777777" w:rsidR="00C1180A" w:rsidRDefault="00C1180A">
      <w:pPr>
        <w:pStyle w:val="BodyText"/>
        <w:spacing w:before="6"/>
      </w:pPr>
    </w:p>
    <w:p w14:paraId="3443FBD4" w14:textId="77777777" w:rsidR="00C1180A" w:rsidRDefault="00CA7EDA">
      <w:pPr>
        <w:pStyle w:val="BodyText"/>
        <w:tabs>
          <w:tab w:val="left" w:pos="4326"/>
        </w:tabs>
        <w:spacing w:line="247" w:lineRule="auto"/>
        <w:ind w:left="120" w:right="209"/>
      </w:pPr>
      <w:r>
        <w:t>The</w:t>
      </w:r>
      <w:r>
        <w:rPr>
          <w:u w:val="single"/>
        </w:rPr>
        <w:t xml:space="preserve"> </w:t>
      </w:r>
      <w:r>
        <w:rPr>
          <w:u w:val="single"/>
        </w:rPr>
        <w:tab/>
      </w:r>
      <w:r>
        <w:t>will ensure that the initial rent charged for a</w:t>
      </w:r>
      <w:r>
        <w:rPr>
          <w:spacing w:val="-26"/>
        </w:rPr>
        <w:t xml:space="preserve"> </w:t>
      </w:r>
      <w:r>
        <w:t>unit</w:t>
      </w:r>
      <w:r>
        <w:rPr>
          <w:spacing w:val="-3"/>
        </w:rPr>
        <w:t xml:space="preserve"> </w:t>
      </w:r>
      <w:r>
        <w:t>that</w:t>
      </w:r>
      <w:r>
        <w:rPr>
          <w:w w:val="99"/>
        </w:rPr>
        <w:t xml:space="preserve"> </w:t>
      </w:r>
      <w:r>
        <w:t xml:space="preserve">is rehabilitated with CDBG funds is limited to an amount that will prevent the tenant’s monthly cost for rent and utilities from exceeding </w:t>
      </w:r>
      <w:r>
        <w:rPr>
          <w:u w:val="single"/>
        </w:rPr>
        <w:t>the greater</w:t>
      </w:r>
      <w:r>
        <w:rPr>
          <w:spacing w:val="-33"/>
          <w:u w:val="single"/>
        </w:rPr>
        <w:t xml:space="preserve"> </w:t>
      </w:r>
      <w:r>
        <w:rPr>
          <w:u w:val="single"/>
        </w:rPr>
        <w:t>of</w:t>
      </w:r>
      <w:r>
        <w:t>:</w:t>
      </w:r>
    </w:p>
    <w:p w14:paraId="3443FBD5" w14:textId="77777777" w:rsidR="00C1180A" w:rsidRDefault="00C1180A">
      <w:pPr>
        <w:spacing w:line="247" w:lineRule="auto"/>
        <w:sectPr w:rsidR="00C1180A">
          <w:headerReference w:type="even" r:id="rId7"/>
          <w:headerReference w:type="default" r:id="rId8"/>
          <w:footerReference w:type="even" r:id="rId9"/>
          <w:footerReference w:type="default" r:id="rId10"/>
          <w:headerReference w:type="first" r:id="rId11"/>
          <w:footerReference w:type="first" r:id="rId12"/>
          <w:type w:val="continuous"/>
          <w:pgSz w:w="12240" w:h="15840"/>
          <w:pgMar w:top="680" w:right="1320" w:bottom="1920" w:left="1320" w:header="720" w:footer="1721" w:gutter="0"/>
          <w:pgNumType w:start="75"/>
          <w:cols w:space="720"/>
        </w:sectPr>
      </w:pPr>
    </w:p>
    <w:p w14:paraId="3443FBD6" w14:textId="77777777" w:rsidR="00C1180A" w:rsidRDefault="00CA7EDA">
      <w:pPr>
        <w:pStyle w:val="ListParagraph"/>
        <w:numPr>
          <w:ilvl w:val="0"/>
          <w:numId w:val="2"/>
        </w:numPr>
        <w:tabs>
          <w:tab w:val="left" w:pos="480"/>
        </w:tabs>
        <w:spacing w:before="44" w:line="247" w:lineRule="auto"/>
        <w:ind w:right="1410"/>
        <w:rPr>
          <w:sz w:val="24"/>
        </w:rPr>
      </w:pPr>
      <w:r>
        <w:rPr>
          <w:sz w:val="24"/>
        </w:rPr>
        <w:lastRenderedPageBreak/>
        <w:t>The</w:t>
      </w:r>
      <w:r>
        <w:rPr>
          <w:spacing w:val="-4"/>
          <w:sz w:val="24"/>
        </w:rPr>
        <w:t xml:space="preserve"> </w:t>
      </w:r>
      <w:r>
        <w:rPr>
          <w:sz w:val="24"/>
        </w:rPr>
        <w:t>tenant’s</w:t>
      </w:r>
      <w:r>
        <w:rPr>
          <w:spacing w:val="-3"/>
          <w:sz w:val="24"/>
        </w:rPr>
        <w:t xml:space="preserve"> </w:t>
      </w:r>
      <w:r>
        <w:rPr>
          <w:sz w:val="24"/>
        </w:rPr>
        <w:t>monthly</w:t>
      </w:r>
      <w:r>
        <w:rPr>
          <w:spacing w:val="-10"/>
          <w:sz w:val="24"/>
        </w:rPr>
        <w:t xml:space="preserve"> </w:t>
      </w:r>
      <w:r>
        <w:rPr>
          <w:sz w:val="24"/>
        </w:rPr>
        <w:t>rent</w:t>
      </w:r>
      <w:r>
        <w:rPr>
          <w:spacing w:val="-3"/>
          <w:sz w:val="24"/>
        </w:rPr>
        <w:t xml:space="preserve"> </w:t>
      </w:r>
      <w:r>
        <w:rPr>
          <w:sz w:val="24"/>
        </w:rPr>
        <w:t>and</w:t>
      </w:r>
      <w:r>
        <w:rPr>
          <w:spacing w:val="-3"/>
          <w:sz w:val="24"/>
        </w:rPr>
        <w:t xml:space="preserve"> </w:t>
      </w:r>
      <w:r>
        <w:rPr>
          <w:sz w:val="24"/>
        </w:rPr>
        <w:t>estimated</w:t>
      </w:r>
      <w:r>
        <w:rPr>
          <w:spacing w:val="-3"/>
          <w:sz w:val="24"/>
        </w:rPr>
        <w:t xml:space="preserve"> </w:t>
      </w:r>
      <w:r>
        <w:rPr>
          <w:sz w:val="24"/>
        </w:rPr>
        <w:t>average</w:t>
      </w:r>
      <w:r>
        <w:rPr>
          <w:spacing w:val="-4"/>
          <w:sz w:val="24"/>
        </w:rPr>
        <w:t xml:space="preserve"> </w:t>
      </w:r>
      <w:r>
        <w:rPr>
          <w:sz w:val="24"/>
        </w:rPr>
        <w:t>monthly</w:t>
      </w:r>
      <w:r>
        <w:rPr>
          <w:spacing w:val="-10"/>
          <w:sz w:val="24"/>
        </w:rPr>
        <w:t xml:space="preserve"> </w:t>
      </w:r>
      <w:r>
        <w:rPr>
          <w:sz w:val="24"/>
        </w:rPr>
        <w:t>utility</w:t>
      </w:r>
      <w:r>
        <w:rPr>
          <w:spacing w:val="-10"/>
          <w:sz w:val="24"/>
        </w:rPr>
        <w:t xml:space="preserve"> </w:t>
      </w:r>
      <w:r>
        <w:rPr>
          <w:sz w:val="24"/>
        </w:rPr>
        <w:t>costs</w:t>
      </w:r>
      <w:r>
        <w:rPr>
          <w:spacing w:val="-3"/>
          <w:sz w:val="24"/>
        </w:rPr>
        <w:t xml:space="preserve"> </w:t>
      </w:r>
      <w:r>
        <w:rPr>
          <w:sz w:val="24"/>
        </w:rPr>
        <w:t>before</w:t>
      </w:r>
      <w:r>
        <w:rPr>
          <w:spacing w:val="-4"/>
          <w:sz w:val="24"/>
        </w:rPr>
        <w:t xml:space="preserve"> </w:t>
      </w:r>
      <w:r>
        <w:rPr>
          <w:sz w:val="24"/>
        </w:rPr>
        <w:t>the rehabilitation,</w:t>
      </w:r>
      <w:r>
        <w:rPr>
          <w:spacing w:val="-7"/>
          <w:sz w:val="24"/>
        </w:rPr>
        <w:t xml:space="preserve"> </w:t>
      </w:r>
      <w:r>
        <w:rPr>
          <w:sz w:val="24"/>
        </w:rPr>
        <w:t>or</w:t>
      </w:r>
    </w:p>
    <w:p w14:paraId="3443FBD7" w14:textId="77777777" w:rsidR="00C1180A" w:rsidRDefault="00C1180A">
      <w:pPr>
        <w:pStyle w:val="BodyText"/>
        <w:spacing w:before="6"/>
      </w:pPr>
    </w:p>
    <w:p w14:paraId="3443FBD8" w14:textId="77777777" w:rsidR="00C1180A" w:rsidRDefault="00CA7EDA">
      <w:pPr>
        <w:pStyle w:val="ListParagraph"/>
        <w:numPr>
          <w:ilvl w:val="0"/>
          <w:numId w:val="2"/>
        </w:numPr>
        <w:tabs>
          <w:tab w:val="left" w:pos="480"/>
        </w:tabs>
        <w:rPr>
          <w:sz w:val="24"/>
        </w:rPr>
      </w:pPr>
      <w:r>
        <w:rPr>
          <w:sz w:val="24"/>
        </w:rPr>
        <w:t>Thirty</w:t>
      </w:r>
      <w:r>
        <w:rPr>
          <w:spacing w:val="-11"/>
          <w:sz w:val="24"/>
        </w:rPr>
        <w:t xml:space="preserve"> </w:t>
      </w:r>
      <w:r>
        <w:rPr>
          <w:sz w:val="24"/>
        </w:rPr>
        <w:t>percent</w:t>
      </w:r>
      <w:r>
        <w:rPr>
          <w:spacing w:val="-4"/>
          <w:sz w:val="24"/>
        </w:rPr>
        <w:t xml:space="preserve"> </w:t>
      </w:r>
      <w:r>
        <w:rPr>
          <w:sz w:val="24"/>
        </w:rPr>
        <w:t>(30%)</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tenant’s</w:t>
      </w:r>
      <w:r>
        <w:rPr>
          <w:spacing w:val="-4"/>
          <w:sz w:val="24"/>
        </w:rPr>
        <w:t xml:space="preserve"> </w:t>
      </w:r>
      <w:r>
        <w:rPr>
          <w:sz w:val="24"/>
        </w:rPr>
        <w:t>average</w:t>
      </w:r>
      <w:r>
        <w:rPr>
          <w:spacing w:val="-5"/>
          <w:sz w:val="24"/>
        </w:rPr>
        <w:t xml:space="preserve"> </w:t>
      </w:r>
      <w:r>
        <w:rPr>
          <w:sz w:val="24"/>
        </w:rPr>
        <w:t>monthly</w:t>
      </w:r>
      <w:r>
        <w:rPr>
          <w:spacing w:val="-11"/>
          <w:sz w:val="24"/>
        </w:rPr>
        <w:t xml:space="preserve"> </w:t>
      </w:r>
      <w:r>
        <w:rPr>
          <w:sz w:val="24"/>
        </w:rPr>
        <w:t>gross</w:t>
      </w:r>
      <w:r>
        <w:rPr>
          <w:spacing w:val="-4"/>
          <w:sz w:val="24"/>
        </w:rPr>
        <w:t xml:space="preserve"> </w:t>
      </w:r>
      <w:r>
        <w:rPr>
          <w:sz w:val="24"/>
        </w:rPr>
        <w:t>household</w:t>
      </w:r>
      <w:r>
        <w:rPr>
          <w:spacing w:val="-4"/>
          <w:sz w:val="24"/>
        </w:rPr>
        <w:t xml:space="preserve"> </w:t>
      </w:r>
      <w:r>
        <w:rPr>
          <w:sz w:val="24"/>
        </w:rPr>
        <w:t>income.</w:t>
      </w:r>
    </w:p>
    <w:p w14:paraId="3443FBD9" w14:textId="77777777" w:rsidR="00C1180A" w:rsidRDefault="00C1180A">
      <w:pPr>
        <w:pStyle w:val="BodyText"/>
        <w:spacing w:before="2"/>
        <w:rPr>
          <w:sz w:val="25"/>
        </w:rPr>
      </w:pPr>
    </w:p>
    <w:p w14:paraId="3443FBDA" w14:textId="77777777" w:rsidR="00C1180A" w:rsidRDefault="00CA7EDA">
      <w:pPr>
        <w:pStyle w:val="BodyText"/>
        <w:spacing w:before="1" w:line="247" w:lineRule="auto"/>
        <w:ind w:left="119" w:right="118"/>
      </w:pPr>
      <w:r>
        <w:t>The initial rent charged after the rehabilitation is completed must be limited to this amount for at least one (1) year or the end of the lease term, whichever is greater.</w:t>
      </w:r>
    </w:p>
    <w:p w14:paraId="3443FBDB" w14:textId="77777777" w:rsidR="00C1180A" w:rsidRDefault="00C1180A">
      <w:pPr>
        <w:pStyle w:val="BodyText"/>
        <w:spacing w:before="6"/>
      </w:pPr>
    </w:p>
    <w:p w14:paraId="3443FBDC" w14:textId="77777777" w:rsidR="00C1180A" w:rsidRDefault="00CA7EDA">
      <w:pPr>
        <w:pStyle w:val="BodyText"/>
        <w:tabs>
          <w:tab w:val="left" w:pos="4446"/>
        </w:tabs>
        <w:spacing w:line="247" w:lineRule="auto"/>
        <w:ind w:left="119" w:right="265"/>
      </w:pPr>
      <w:r>
        <w:t>The</w:t>
      </w:r>
      <w:r>
        <w:rPr>
          <w:u w:val="single"/>
        </w:rPr>
        <w:t xml:space="preserve"> </w:t>
      </w:r>
      <w:r>
        <w:rPr>
          <w:u w:val="single"/>
        </w:rPr>
        <w:tab/>
      </w:r>
      <w:r>
        <w:t>will also ensure that the rent charged for a</w:t>
      </w:r>
      <w:r>
        <w:rPr>
          <w:spacing w:val="-26"/>
        </w:rPr>
        <w:t xml:space="preserve"> </w:t>
      </w:r>
      <w:r>
        <w:t>unit</w:t>
      </w:r>
      <w:r>
        <w:rPr>
          <w:spacing w:val="-3"/>
        </w:rPr>
        <w:t xml:space="preserve"> </w:t>
      </w:r>
      <w:r>
        <w:t>that</w:t>
      </w:r>
      <w:r>
        <w:rPr>
          <w:w w:val="99"/>
        </w:rPr>
        <w:t xml:space="preserve"> </w:t>
      </w:r>
      <w:r>
        <w:t>is rehabilitated with CDBG funds is limited to the appropriate Fair Market Rent (minus any applicable</w:t>
      </w:r>
      <w:r>
        <w:rPr>
          <w:spacing w:val="-5"/>
        </w:rPr>
        <w:t xml:space="preserve"> </w:t>
      </w:r>
      <w:r>
        <w:t>utility</w:t>
      </w:r>
      <w:r>
        <w:rPr>
          <w:spacing w:val="-11"/>
        </w:rPr>
        <w:t xml:space="preserve"> </w:t>
      </w:r>
      <w:r>
        <w:t>allowance)</w:t>
      </w:r>
      <w:r>
        <w:rPr>
          <w:spacing w:val="-5"/>
        </w:rPr>
        <w:t xml:space="preserve"> </w:t>
      </w:r>
      <w:r>
        <w:t>for</w:t>
      </w:r>
      <w:r>
        <w:rPr>
          <w:spacing w:val="-5"/>
        </w:rPr>
        <w:t xml:space="preserve"> </w:t>
      </w:r>
      <w:r>
        <w:t>at</w:t>
      </w:r>
      <w:r>
        <w:rPr>
          <w:spacing w:val="-4"/>
        </w:rPr>
        <w:t xml:space="preserve"> </w:t>
      </w:r>
      <w:r>
        <w:t>least</w:t>
      </w:r>
      <w:r>
        <w:rPr>
          <w:spacing w:val="-4"/>
        </w:rPr>
        <w:t xml:space="preserve"> </w:t>
      </w:r>
      <w:r>
        <w:t>five</w:t>
      </w:r>
      <w:r>
        <w:rPr>
          <w:spacing w:val="-5"/>
        </w:rPr>
        <w:t xml:space="preserve"> </w:t>
      </w:r>
      <w:r>
        <w:t>(5)</w:t>
      </w:r>
      <w:r>
        <w:rPr>
          <w:spacing w:val="-5"/>
        </w:rPr>
        <w:t xml:space="preserve"> </w:t>
      </w:r>
      <w:r>
        <w:t>years</w:t>
      </w:r>
      <w:r>
        <w:rPr>
          <w:spacing w:val="-4"/>
        </w:rPr>
        <w:t xml:space="preserve"> </w:t>
      </w:r>
      <w:r>
        <w:t>after</w:t>
      </w:r>
      <w:r>
        <w:rPr>
          <w:spacing w:val="-5"/>
        </w:rPr>
        <w:t xml:space="preserve"> </w:t>
      </w:r>
      <w:r>
        <w:t>the</w:t>
      </w:r>
      <w:r>
        <w:rPr>
          <w:spacing w:val="-5"/>
        </w:rPr>
        <w:t xml:space="preserve"> </w:t>
      </w:r>
      <w:r>
        <w:t>completion</w:t>
      </w:r>
      <w:r>
        <w:rPr>
          <w:spacing w:val="-4"/>
        </w:rPr>
        <w:t xml:space="preserve"> </w:t>
      </w:r>
      <w:r>
        <w:t>of</w:t>
      </w:r>
      <w:r>
        <w:rPr>
          <w:spacing w:val="-5"/>
        </w:rPr>
        <w:t xml:space="preserve"> </w:t>
      </w:r>
      <w:r>
        <w:t>rehabilitation.</w:t>
      </w:r>
    </w:p>
    <w:p w14:paraId="3443FBDD" w14:textId="77777777" w:rsidR="00C1180A" w:rsidRDefault="00C1180A">
      <w:pPr>
        <w:pStyle w:val="BodyText"/>
        <w:spacing w:before="6"/>
      </w:pPr>
    </w:p>
    <w:p w14:paraId="3443FBDE" w14:textId="77777777" w:rsidR="00C1180A" w:rsidRDefault="00CA7EDA">
      <w:pPr>
        <w:pStyle w:val="BodyText"/>
        <w:tabs>
          <w:tab w:val="left" w:pos="7523"/>
        </w:tabs>
        <w:spacing w:line="247" w:lineRule="auto"/>
        <w:ind w:left="119" w:right="529"/>
      </w:pPr>
      <w:r>
        <w:t>These requirements will be incorporated into a written agreement between the owner of the residential rehabilitation units</w:t>
      </w:r>
      <w:r>
        <w:rPr>
          <w:spacing w:val="-7"/>
        </w:rPr>
        <w:t xml:space="preserve"> </w:t>
      </w:r>
      <w:r>
        <w:t>and</w:t>
      </w:r>
      <w:r>
        <w:rPr>
          <w:spacing w:val="-3"/>
        </w:rPr>
        <w:t xml:space="preserve"> </w:t>
      </w:r>
      <w:r>
        <w:t>the</w:t>
      </w:r>
      <w:r>
        <w:rPr>
          <w:u w:val="single"/>
        </w:rPr>
        <w:t xml:space="preserve"> </w:t>
      </w:r>
      <w:r>
        <w:rPr>
          <w:u w:val="single"/>
        </w:rPr>
        <w:tab/>
      </w:r>
      <w:r>
        <w:t>.</w:t>
      </w:r>
      <w:r>
        <w:rPr>
          <w:spacing w:val="-6"/>
        </w:rPr>
        <w:t xml:space="preserve"> </w:t>
      </w:r>
      <w:r>
        <w:t>The</w:t>
      </w:r>
      <w:r>
        <w:rPr>
          <w:spacing w:val="-7"/>
        </w:rPr>
        <w:t xml:space="preserve"> </w:t>
      </w:r>
      <w:r>
        <w:t>agreement</w:t>
      </w:r>
      <w:r>
        <w:rPr>
          <w:w w:val="99"/>
        </w:rPr>
        <w:t xml:space="preserve"> </w:t>
      </w:r>
      <w:r>
        <w:t>will contain penalties for</w:t>
      </w:r>
      <w:r>
        <w:rPr>
          <w:spacing w:val="-19"/>
        </w:rPr>
        <w:t xml:space="preserve"> </w:t>
      </w:r>
      <w:r>
        <w:t>noncompliance.</w:t>
      </w:r>
    </w:p>
    <w:p w14:paraId="3443FBDF" w14:textId="77777777" w:rsidR="00C1180A" w:rsidRDefault="00C1180A">
      <w:pPr>
        <w:pStyle w:val="BodyText"/>
        <w:spacing w:before="11"/>
      </w:pPr>
    </w:p>
    <w:p w14:paraId="3443FBE0" w14:textId="77777777" w:rsidR="00C1180A" w:rsidRDefault="00CA7EDA">
      <w:pPr>
        <w:pStyle w:val="Heading1"/>
      </w:pPr>
      <w:r>
        <w:rPr>
          <w:u w:val="thick"/>
        </w:rPr>
        <w:t>Relocation Assistance for Displaced Persons</w:t>
      </w:r>
    </w:p>
    <w:p w14:paraId="3443FBE1" w14:textId="77777777" w:rsidR="00C1180A" w:rsidRDefault="00C1180A">
      <w:pPr>
        <w:pStyle w:val="BodyText"/>
        <w:spacing w:before="6"/>
        <w:rPr>
          <w:b/>
          <w:sz w:val="19"/>
        </w:rPr>
      </w:pPr>
    </w:p>
    <w:p w14:paraId="3443FBE2" w14:textId="77777777" w:rsidR="00C1180A" w:rsidRDefault="00CA7EDA">
      <w:pPr>
        <w:pStyle w:val="BodyText"/>
        <w:tabs>
          <w:tab w:val="left" w:pos="4686"/>
        </w:tabs>
        <w:spacing w:before="61" w:line="247" w:lineRule="auto"/>
        <w:ind w:left="119" w:right="151"/>
      </w:pPr>
      <w:r>
        <w:t>The</w:t>
      </w:r>
      <w:r>
        <w:rPr>
          <w:u w:val="single"/>
        </w:rPr>
        <w:t xml:space="preserve"> </w:t>
      </w:r>
      <w:r>
        <w:rPr>
          <w:u w:val="single"/>
        </w:rPr>
        <w:tab/>
      </w:r>
      <w:r>
        <w:t>will provide relocation assistance</w:t>
      </w:r>
      <w:r>
        <w:rPr>
          <w:spacing w:val="-18"/>
        </w:rPr>
        <w:t xml:space="preserve"> </w:t>
      </w:r>
      <w:r>
        <w:t>to</w:t>
      </w:r>
      <w:r>
        <w:rPr>
          <w:spacing w:val="-4"/>
        </w:rPr>
        <w:t xml:space="preserve"> </w:t>
      </w:r>
      <w:r>
        <w:t>displaced</w:t>
      </w:r>
      <w:r>
        <w:rPr>
          <w:w w:val="99"/>
        </w:rPr>
        <w:t xml:space="preserve"> </w:t>
      </w:r>
      <w:r>
        <w:t>persons in accordance with the provisions of 49 CFR, part 24 (URA) or 24 CFR, part 42</w:t>
      </w:r>
      <w:r>
        <w:rPr>
          <w:spacing w:val="-38"/>
        </w:rPr>
        <w:t xml:space="preserve"> </w:t>
      </w:r>
      <w:r>
        <w:t xml:space="preserve">(Section 104 (d)), as applicable. The provisions of 24 CFR, part 42 (Section 104 (d)) apply only to the displacement of any lower income person </w:t>
      </w:r>
      <w:r>
        <w:rPr>
          <w:u w:val="single"/>
        </w:rPr>
        <w:t xml:space="preserve">as a direct result of the demolition of any housing unit or the conversion of occupied or vacant occupiable low/moderate-income housing to a use other than low/moderate-income housing.  </w:t>
      </w:r>
      <w:r>
        <w:t xml:space="preserve">A lower income person who qualifies under 24 CFR, part 42 (Section 104 (d)) may choose to receive relocation assistance at </w:t>
      </w:r>
      <w:r>
        <w:rPr>
          <w:u w:val="single"/>
        </w:rPr>
        <w:t xml:space="preserve">either </w:t>
      </w:r>
      <w:r>
        <w:t>the URA or Section 104 (d) levels. The provisions of 49 CFR, part 24 (URA) and 24 CFR, part 42 (Section 104 (d)) are further described and clarified in HUD Handbook</w:t>
      </w:r>
      <w:r>
        <w:rPr>
          <w:spacing w:val="-32"/>
        </w:rPr>
        <w:t xml:space="preserve"> </w:t>
      </w:r>
      <w:r>
        <w:t>1378.</w:t>
      </w:r>
    </w:p>
    <w:p w14:paraId="3443FBE3" w14:textId="77777777" w:rsidR="00C1180A" w:rsidRDefault="00C1180A">
      <w:pPr>
        <w:pStyle w:val="BodyText"/>
        <w:spacing w:before="11"/>
      </w:pPr>
    </w:p>
    <w:p w14:paraId="3443FBE4" w14:textId="77777777" w:rsidR="00C1180A" w:rsidRDefault="00CA7EDA">
      <w:pPr>
        <w:pStyle w:val="Heading1"/>
      </w:pPr>
      <w:r>
        <w:rPr>
          <w:u w:val="thick"/>
        </w:rPr>
        <w:t>One-for One Replacement of Lower-Income Dwelling Units</w:t>
      </w:r>
    </w:p>
    <w:p w14:paraId="3443FBE5" w14:textId="77777777" w:rsidR="00C1180A" w:rsidRDefault="00C1180A">
      <w:pPr>
        <w:pStyle w:val="BodyText"/>
        <w:spacing w:before="6"/>
        <w:rPr>
          <w:b/>
          <w:sz w:val="19"/>
        </w:rPr>
      </w:pPr>
    </w:p>
    <w:p w14:paraId="3443FBE6" w14:textId="77777777" w:rsidR="00C1180A" w:rsidRDefault="00CA7EDA">
      <w:pPr>
        <w:pStyle w:val="BodyText"/>
        <w:tabs>
          <w:tab w:val="left" w:pos="5046"/>
        </w:tabs>
        <w:spacing w:before="61" w:line="247" w:lineRule="auto"/>
        <w:ind w:left="119" w:right="516"/>
      </w:pPr>
      <w:r>
        <w:t>The</w:t>
      </w:r>
      <w:r>
        <w:rPr>
          <w:u w:val="single"/>
        </w:rPr>
        <w:t xml:space="preserve"> </w:t>
      </w:r>
      <w:r>
        <w:rPr>
          <w:u w:val="single"/>
        </w:rPr>
        <w:tab/>
      </w:r>
      <w:r>
        <w:t>will replace all occupied</w:t>
      </w:r>
      <w:r>
        <w:rPr>
          <w:spacing w:val="-16"/>
        </w:rPr>
        <w:t xml:space="preserve"> </w:t>
      </w:r>
      <w:r>
        <w:t>and</w:t>
      </w:r>
      <w:r>
        <w:rPr>
          <w:spacing w:val="-4"/>
        </w:rPr>
        <w:t xml:space="preserve"> </w:t>
      </w:r>
      <w:r>
        <w:t>vacant</w:t>
      </w:r>
      <w:r>
        <w:rPr>
          <w:w w:val="99"/>
        </w:rPr>
        <w:t xml:space="preserve"> </w:t>
      </w:r>
      <w:r>
        <w:t>occupiable lower-income dwelling units demolished or converted to a use other than lower- income housing as a direct result of activities assisted with funds provided under the</w:t>
      </w:r>
      <w:r>
        <w:rPr>
          <w:spacing w:val="-40"/>
        </w:rPr>
        <w:t xml:space="preserve"> </w:t>
      </w:r>
      <w:r>
        <w:t>Housing and Community of 1974, as amended, as described in 24 CFR</w:t>
      </w:r>
      <w:r>
        <w:rPr>
          <w:spacing w:val="-29"/>
        </w:rPr>
        <w:t xml:space="preserve"> </w:t>
      </w:r>
      <w:r>
        <w:t>42.375.</w:t>
      </w:r>
    </w:p>
    <w:p w14:paraId="3443FBE7" w14:textId="77777777" w:rsidR="00C1180A" w:rsidRDefault="00C1180A">
      <w:pPr>
        <w:pStyle w:val="BodyText"/>
        <w:spacing w:before="6"/>
      </w:pPr>
    </w:p>
    <w:p w14:paraId="3443FBE8" w14:textId="77777777" w:rsidR="00C1180A" w:rsidRDefault="00CA7EDA">
      <w:pPr>
        <w:pStyle w:val="BodyText"/>
        <w:tabs>
          <w:tab w:val="left" w:pos="6378"/>
        </w:tabs>
        <w:spacing w:line="247" w:lineRule="auto"/>
        <w:ind w:left="119" w:right="233"/>
      </w:pPr>
      <w:r>
        <w:t xml:space="preserve">The replacement units must initially be made available for occupancy at any time during the period beginning 1 </w:t>
      </w:r>
      <w:r>
        <w:rPr>
          <w:spacing w:val="-3"/>
        </w:rPr>
        <w:t xml:space="preserve">year </w:t>
      </w:r>
      <w:r>
        <w:t>before the recipient makes public the information required below and ending 3 years after the commencement of the demolition or rehabilitation related to the conversion. Before obligating or expending funds that will directly result in such demolition or conversion,</w:t>
      </w:r>
      <w:r>
        <w:rPr>
          <w:spacing w:val="-2"/>
        </w:rPr>
        <w:t xml:space="preserve"> </w:t>
      </w:r>
      <w:r>
        <w:t>the</w:t>
      </w:r>
      <w:r>
        <w:rPr>
          <w:u w:val="single"/>
        </w:rPr>
        <w:t xml:space="preserve"> </w:t>
      </w:r>
      <w:r>
        <w:rPr>
          <w:u w:val="single"/>
        </w:rPr>
        <w:tab/>
      </w:r>
      <w:r>
        <w:t>will make public and</w:t>
      </w:r>
      <w:r>
        <w:rPr>
          <w:spacing w:val="-9"/>
        </w:rPr>
        <w:t xml:space="preserve"> </w:t>
      </w:r>
      <w:r>
        <w:t>submit</w:t>
      </w:r>
      <w:r>
        <w:rPr>
          <w:spacing w:val="-2"/>
        </w:rPr>
        <w:t xml:space="preserve"> </w:t>
      </w:r>
      <w:r>
        <w:t>in</w:t>
      </w:r>
      <w:r>
        <w:rPr>
          <w:w w:val="99"/>
        </w:rPr>
        <w:t xml:space="preserve"> </w:t>
      </w:r>
      <w:r>
        <w:t>writing to the Department of Housing the following</w:t>
      </w:r>
      <w:r>
        <w:rPr>
          <w:spacing w:val="-36"/>
        </w:rPr>
        <w:t xml:space="preserve"> </w:t>
      </w:r>
      <w:r>
        <w:t>information:</w:t>
      </w:r>
    </w:p>
    <w:p w14:paraId="3443FBE9" w14:textId="77777777" w:rsidR="00C1180A" w:rsidRDefault="00C1180A">
      <w:pPr>
        <w:spacing w:line="247" w:lineRule="auto"/>
        <w:sectPr w:rsidR="00C1180A">
          <w:pgSz w:w="12240" w:h="15840"/>
          <w:pgMar w:top="960" w:right="1320" w:bottom="1920" w:left="1320" w:header="0" w:footer="1721" w:gutter="0"/>
          <w:cols w:space="720"/>
        </w:sectPr>
      </w:pPr>
    </w:p>
    <w:p w14:paraId="3443FBEA" w14:textId="77777777" w:rsidR="00C1180A" w:rsidRDefault="00CA7EDA">
      <w:pPr>
        <w:pStyle w:val="ListParagraph"/>
        <w:numPr>
          <w:ilvl w:val="0"/>
          <w:numId w:val="1"/>
        </w:numPr>
        <w:tabs>
          <w:tab w:val="left" w:pos="480"/>
        </w:tabs>
        <w:spacing w:before="44"/>
        <w:rPr>
          <w:sz w:val="24"/>
        </w:rPr>
      </w:pPr>
      <w:r>
        <w:rPr>
          <w:sz w:val="24"/>
        </w:rPr>
        <w:lastRenderedPageBreak/>
        <w:t>A description of the proposed assisted</w:t>
      </w:r>
      <w:r>
        <w:rPr>
          <w:spacing w:val="-27"/>
          <w:sz w:val="24"/>
        </w:rPr>
        <w:t xml:space="preserve"> </w:t>
      </w:r>
      <w:r>
        <w:rPr>
          <w:sz w:val="24"/>
        </w:rPr>
        <w:t>activity;</w:t>
      </w:r>
    </w:p>
    <w:p w14:paraId="3443FBEB" w14:textId="77777777" w:rsidR="00C1180A" w:rsidRDefault="00C1180A">
      <w:pPr>
        <w:pStyle w:val="BodyText"/>
        <w:spacing w:before="2"/>
        <w:rPr>
          <w:sz w:val="25"/>
        </w:rPr>
      </w:pPr>
    </w:p>
    <w:p w14:paraId="3443FBEC" w14:textId="77777777" w:rsidR="00C1180A" w:rsidRDefault="00CA7EDA">
      <w:pPr>
        <w:pStyle w:val="ListParagraph"/>
        <w:numPr>
          <w:ilvl w:val="0"/>
          <w:numId w:val="1"/>
        </w:numPr>
        <w:tabs>
          <w:tab w:val="left" w:pos="480"/>
        </w:tabs>
        <w:spacing w:before="1" w:line="247" w:lineRule="auto"/>
        <w:ind w:right="213"/>
        <w:rPr>
          <w:sz w:val="24"/>
        </w:rPr>
      </w:pPr>
      <w:r>
        <w:rPr>
          <w:sz w:val="24"/>
        </w:rPr>
        <w:t>The</w:t>
      </w:r>
      <w:r>
        <w:rPr>
          <w:spacing w:val="-3"/>
          <w:sz w:val="24"/>
        </w:rPr>
        <w:t xml:space="preserve"> </w:t>
      </w:r>
      <w:r>
        <w:rPr>
          <w:sz w:val="24"/>
        </w:rPr>
        <w:t>general</w:t>
      </w:r>
      <w:r>
        <w:rPr>
          <w:spacing w:val="-2"/>
          <w:sz w:val="24"/>
        </w:rPr>
        <w:t xml:space="preserve"> </w:t>
      </w:r>
      <w:r>
        <w:rPr>
          <w:sz w:val="24"/>
        </w:rPr>
        <w:t>location</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map</w:t>
      </w:r>
      <w:r>
        <w:rPr>
          <w:spacing w:val="-2"/>
          <w:sz w:val="24"/>
        </w:rPr>
        <w:t xml:space="preserve"> </w:t>
      </w:r>
      <w:r>
        <w:rPr>
          <w:sz w:val="24"/>
        </w:rPr>
        <w:t>and</w:t>
      </w:r>
      <w:r>
        <w:rPr>
          <w:spacing w:val="-2"/>
          <w:sz w:val="24"/>
        </w:rPr>
        <w:t xml:space="preserve"> </w:t>
      </w:r>
      <w:r>
        <w:rPr>
          <w:sz w:val="24"/>
        </w:rPr>
        <w:t>approximate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dwelling</w:t>
      </w:r>
      <w:r>
        <w:rPr>
          <w:spacing w:val="-5"/>
          <w:sz w:val="24"/>
        </w:rPr>
        <w:t xml:space="preserve"> </w:t>
      </w:r>
      <w:r>
        <w:rPr>
          <w:sz w:val="24"/>
        </w:rPr>
        <w:t>units</w:t>
      </w:r>
      <w:r>
        <w:rPr>
          <w:spacing w:val="-2"/>
          <w:sz w:val="24"/>
        </w:rPr>
        <w:t xml:space="preserve"> </w:t>
      </w:r>
      <w:r>
        <w:rPr>
          <w:sz w:val="24"/>
        </w:rPr>
        <w:t>by</w:t>
      </w:r>
      <w:r>
        <w:rPr>
          <w:spacing w:val="-9"/>
          <w:sz w:val="24"/>
        </w:rPr>
        <w:t xml:space="preserve"> </w:t>
      </w:r>
      <w:r>
        <w:rPr>
          <w:sz w:val="24"/>
        </w:rPr>
        <w:t>size</w:t>
      </w:r>
      <w:r>
        <w:rPr>
          <w:spacing w:val="-3"/>
          <w:sz w:val="24"/>
        </w:rPr>
        <w:t xml:space="preserve"> </w:t>
      </w:r>
      <w:r>
        <w:rPr>
          <w:sz w:val="24"/>
        </w:rPr>
        <w:t>(number</w:t>
      </w:r>
      <w:r>
        <w:rPr>
          <w:spacing w:val="-3"/>
          <w:sz w:val="24"/>
        </w:rPr>
        <w:t xml:space="preserve"> </w:t>
      </w:r>
      <w:r>
        <w:rPr>
          <w:sz w:val="24"/>
        </w:rPr>
        <w:t>of bedrooms) that will be demolished or converted to a use other than lower-income dwelling units as a direct result of the assisted</w:t>
      </w:r>
      <w:r>
        <w:rPr>
          <w:spacing w:val="-27"/>
          <w:sz w:val="24"/>
        </w:rPr>
        <w:t xml:space="preserve"> </w:t>
      </w:r>
      <w:r>
        <w:rPr>
          <w:sz w:val="24"/>
        </w:rPr>
        <w:t>activity;</w:t>
      </w:r>
    </w:p>
    <w:p w14:paraId="3443FBED" w14:textId="77777777" w:rsidR="00C1180A" w:rsidRDefault="00C1180A">
      <w:pPr>
        <w:pStyle w:val="BodyText"/>
        <w:spacing w:before="6"/>
      </w:pPr>
    </w:p>
    <w:p w14:paraId="3443FBEE" w14:textId="77777777" w:rsidR="00C1180A" w:rsidRDefault="00CA7EDA">
      <w:pPr>
        <w:pStyle w:val="ListParagraph"/>
        <w:numPr>
          <w:ilvl w:val="0"/>
          <w:numId w:val="1"/>
        </w:numPr>
        <w:tabs>
          <w:tab w:val="left" w:pos="480"/>
        </w:tabs>
        <w:rPr>
          <w:sz w:val="24"/>
        </w:rPr>
      </w:pPr>
      <w:r>
        <w:rPr>
          <w:sz w:val="24"/>
        </w:rPr>
        <w:t>A time schedule for the commencement and completion of the demolition or</w:t>
      </w:r>
      <w:r>
        <w:rPr>
          <w:spacing w:val="-37"/>
          <w:sz w:val="24"/>
        </w:rPr>
        <w:t xml:space="preserve"> </w:t>
      </w:r>
      <w:r>
        <w:rPr>
          <w:sz w:val="24"/>
        </w:rPr>
        <w:t>conversion;</w:t>
      </w:r>
    </w:p>
    <w:p w14:paraId="3443FBEF" w14:textId="77777777" w:rsidR="00C1180A" w:rsidRDefault="00C1180A">
      <w:pPr>
        <w:pStyle w:val="BodyText"/>
        <w:spacing w:before="2"/>
        <w:rPr>
          <w:sz w:val="25"/>
        </w:rPr>
      </w:pPr>
    </w:p>
    <w:p w14:paraId="3443FBF0" w14:textId="77777777" w:rsidR="00C1180A" w:rsidRDefault="00CA7EDA">
      <w:pPr>
        <w:pStyle w:val="ListParagraph"/>
        <w:numPr>
          <w:ilvl w:val="0"/>
          <w:numId w:val="1"/>
        </w:numPr>
        <w:tabs>
          <w:tab w:val="left" w:pos="480"/>
        </w:tabs>
        <w:spacing w:before="1" w:line="247" w:lineRule="auto"/>
        <w:ind w:right="166"/>
        <w:rPr>
          <w:sz w:val="24"/>
        </w:rPr>
      </w:pPr>
      <w:r>
        <w:rPr>
          <w:sz w:val="24"/>
        </w:rPr>
        <w:t xml:space="preserve">The location on a map and approximate number of dwelling units by size (number of bedrooms) that will be provided as replacement dwelling units. </w:t>
      </w:r>
      <w:r>
        <w:rPr>
          <w:spacing w:val="-3"/>
          <w:sz w:val="24"/>
        </w:rPr>
        <w:t xml:space="preserve">If </w:t>
      </w:r>
      <w:r>
        <w:rPr>
          <w:sz w:val="24"/>
        </w:rPr>
        <w:t>such data are not available at the time of the general submission, the submission shall identify the general location on an area map and the approximate number of dwelling units by size, and information identifying the specific location and number of dwelling units by</w:t>
      </w:r>
      <w:r>
        <w:rPr>
          <w:spacing w:val="-43"/>
          <w:sz w:val="24"/>
        </w:rPr>
        <w:t xml:space="preserve"> </w:t>
      </w:r>
      <w:r>
        <w:rPr>
          <w:sz w:val="24"/>
        </w:rPr>
        <w:t>size shall be submitted and disclosed to the public as soon as it is</w:t>
      </w:r>
      <w:r>
        <w:rPr>
          <w:spacing w:val="-14"/>
          <w:sz w:val="24"/>
        </w:rPr>
        <w:t xml:space="preserve"> </w:t>
      </w:r>
      <w:r>
        <w:rPr>
          <w:sz w:val="24"/>
        </w:rPr>
        <w:t>available;</w:t>
      </w:r>
    </w:p>
    <w:p w14:paraId="3443FBF1" w14:textId="77777777" w:rsidR="00C1180A" w:rsidRDefault="00C1180A">
      <w:pPr>
        <w:pStyle w:val="BodyText"/>
        <w:spacing w:before="6"/>
      </w:pPr>
    </w:p>
    <w:p w14:paraId="3443FBF2" w14:textId="77777777" w:rsidR="00C1180A" w:rsidRDefault="00CA7EDA">
      <w:pPr>
        <w:pStyle w:val="ListParagraph"/>
        <w:numPr>
          <w:ilvl w:val="0"/>
          <w:numId w:val="1"/>
        </w:numPr>
        <w:tabs>
          <w:tab w:val="left" w:pos="480"/>
        </w:tabs>
        <w:rPr>
          <w:sz w:val="24"/>
        </w:rPr>
      </w:pPr>
      <w:r>
        <w:rPr>
          <w:sz w:val="24"/>
        </w:rPr>
        <w:t>The</w:t>
      </w:r>
      <w:r>
        <w:rPr>
          <w:spacing w:val="-4"/>
          <w:sz w:val="24"/>
        </w:rPr>
        <w:t xml:space="preserve"> </w:t>
      </w:r>
      <w:r>
        <w:rPr>
          <w:sz w:val="24"/>
        </w:rPr>
        <w:t>source</w:t>
      </w:r>
      <w:r>
        <w:rPr>
          <w:spacing w:val="-4"/>
          <w:sz w:val="24"/>
        </w:rPr>
        <w:t xml:space="preserve"> </w:t>
      </w:r>
      <w:r>
        <w:rPr>
          <w:sz w:val="24"/>
        </w:rPr>
        <w:t>of</w:t>
      </w:r>
      <w:r>
        <w:rPr>
          <w:spacing w:val="-4"/>
          <w:sz w:val="24"/>
        </w:rPr>
        <w:t xml:space="preserve"> </w:t>
      </w:r>
      <w:r>
        <w:rPr>
          <w:sz w:val="24"/>
        </w:rPr>
        <w:t>funding</w:t>
      </w:r>
      <w:r>
        <w:rPr>
          <w:spacing w:val="-6"/>
          <w:sz w:val="24"/>
        </w:rPr>
        <w:t xml:space="preserve"> </w:t>
      </w:r>
      <w:r>
        <w:rPr>
          <w:sz w:val="24"/>
        </w:rPr>
        <w:t>and</w:t>
      </w:r>
      <w:r>
        <w:rPr>
          <w:spacing w:val="-3"/>
          <w:sz w:val="24"/>
        </w:rPr>
        <w:t xml:space="preserve"> </w:t>
      </w:r>
      <w:r>
        <w:rPr>
          <w:sz w:val="24"/>
        </w:rPr>
        <w:t>a</w:t>
      </w:r>
      <w:r>
        <w:rPr>
          <w:spacing w:val="-4"/>
          <w:sz w:val="24"/>
        </w:rPr>
        <w:t xml:space="preserve"> </w:t>
      </w:r>
      <w:r>
        <w:rPr>
          <w:sz w:val="24"/>
        </w:rPr>
        <w:t>time</w:t>
      </w:r>
      <w:r>
        <w:rPr>
          <w:spacing w:val="-4"/>
          <w:sz w:val="24"/>
        </w:rPr>
        <w:t xml:space="preserve"> </w:t>
      </w:r>
      <w:r>
        <w:rPr>
          <w:sz w:val="24"/>
        </w:rPr>
        <w:t>schedule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provision</w:t>
      </w:r>
      <w:r>
        <w:rPr>
          <w:spacing w:val="-3"/>
          <w:sz w:val="24"/>
        </w:rPr>
        <w:t xml:space="preserve"> </w:t>
      </w:r>
      <w:r>
        <w:rPr>
          <w:sz w:val="24"/>
        </w:rPr>
        <w:t>of</w:t>
      </w:r>
      <w:r>
        <w:rPr>
          <w:spacing w:val="-4"/>
          <w:sz w:val="24"/>
        </w:rPr>
        <w:t xml:space="preserve"> </w:t>
      </w:r>
      <w:r>
        <w:rPr>
          <w:sz w:val="24"/>
        </w:rPr>
        <w:t>replacement</w:t>
      </w:r>
      <w:r>
        <w:rPr>
          <w:spacing w:val="-3"/>
          <w:sz w:val="24"/>
        </w:rPr>
        <w:t xml:space="preserve"> </w:t>
      </w:r>
      <w:r>
        <w:rPr>
          <w:sz w:val="24"/>
        </w:rPr>
        <w:t>dwelling</w:t>
      </w:r>
      <w:r>
        <w:rPr>
          <w:spacing w:val="-6"/>
          <w:sz w:val="24"/>
        </w:rPr>
        <w:t xml:space="preserve"> </w:t>
      </w:r>
      <w:r>
        <w:rPr>
          <w:sz w:val="24"/>
        </w:rPr>
        <w:t>units;</w:t>
      </w:r>
    </w:p>
    <w:p w14:paraId="3443FBF3" w14:textId="77777777" w:rsidR="00C1180A" w:rsidRDefault="00C1180A">
      <w:pPr>
        <w:pStyle w:val="BodyText"/>
        <w:spacing w:before="2"/>
        <w:rPr>
          <w:sz w:val="25"/>
        </w:rPr>
      </w:pPr>
    </w:p>
    <w:p w14:paraId="3443FBF4" w14:textId="77777777" w:rsidR="00C1180A" w:rsidRDefault="00CA7EDA">
      <w:pPr>
        <w:pStyle w:val="ListParagraph"/>
        <w:numPr>
          <w:ilvl w:val="0"/>
          <w:numId w:val="1"/>
        </w:numPr>
        <w:tabs>
          <w:tab w:val="left" w:pos="480"/>
        </w:tabs>
        <w:spacing w:before="1" w:line="247" w:lineRule="auto"/>
        <w:ind w:right="551"/>
        <w:rPr>
          <w:sz w:val="24"/>
        </w:rPr>
      </w:pPr>
      <w:r>
        <w:rPr>
          <w:sz w:val="24"/>
        </w:rPr>
        <w:t>The</w:t>
      </w:r>
      <w:r>
        <w:rPr>
          <w:spacing w:val="-5"/>
          <w:sz w:val="24"/>
        </w:rPr>
        <w:t xml:space="preserve"> </w:t>
      </w:r>
      <w:r>
        <w:rPr>
          <w:sz w:val="24"/>
        </w:rPr>
        <w:t>basis</w:t>
      </w:r>
      <w:r>
        <w:rPr>
          <w:spacing w:val="-4"/>
          <w:sz w:val="24"/>
        </w:rPr>
        <w:t xml:space="preserve"> </w:t>
      </w:r>
      <w:r>
        <w:rPr>
          <w:sz w:val="24"/>
        </w:rPr>
        <w:t>for</w:t>
      </w:r>
      <w:r>
        <w:rPr>
          <w:spacing w:val="-5"/>
          <w:sz w:val="24"/>
        </w:rPr>
        <w:t xml:space="preserve"> </w:t>
      </w:r>
      <w:r>
        <w:rPr>
          <w:sz w:val="24"/>
        </w:rPr>
        <w:t>concluding</w:t>
      </w:r>
      <w:r>
        <w:rPr>
          <w:spacing w:val="-6"/>
          <w:sz w:val="24"/>
        </w:rPr>
        <w:t xml:space="preserve"> </w:t>
      </w:r>
      <w:r>
        <w:rPr>
          <w:sz w:val="24"/>
        </w:rPr>
        <w:t>that</w:t>
      </w:r>
      <w:r>
        <w:rPr>
          <w:spacing w:val="-4"/>
          <w:sz w:val="24"/>
        </w:rPr>
        <w:t xml:space="preserve"> </w:t>
      </w:r>
      <w:r>
        <w:rPr>
          <w:sz w:val="24"/>
        </w:rPr>
        <w:t>each</w:t>
      </w:r>
      <w:r>
        <w:rPr>
          <w:spacing w:val="-4"/>
          <w:sz w:val="24"/>
        </w:rPr>
        <w:t xml:space="preserve"> </w:t>
      </w:r>
      <w:r>
        <w:rPr>
          <w:sz w:val="24"/>
        </w:rPr>
        <w:t>replacement</w:t>
      </w:r>
      <w:r>
        <w:rPr>
          <w:spacing w:val="-4"/>
          <w:sz w:val="24"/>
        </w:rPr>
        <w:t xml:space="preserve"> </w:t>
      </w:r>
      <w:r>
        <w:rPr>
          <w:sz w:val="24"/>
        </w:rPr>
        <w:t>dwelling</w:t>
      </w:r>
      <w:r>
        <w:rPr>
          <w:spacing w:val="-6"/>
          <w:sz w:val="24"/>
        </w:rPr>
        <w:t xml:space="preserve"> </w:t>
      </w:r>
      <w:r>
        <w:rPr>
          <w:sz w:val="24"/>
        </w:rPr>
        <w:t>unit</w:t>
      </w:r>
      <w:r>
        <w:rPr>
          <w:spacing w:val="-4"/>
          <w:sz w:val="24"/>
        </w:rPr>
        <w:t xml:space="preserve"> </w:t>
      </w:r>
      <w:r>
        <w:rPr>
          <w:sz w:val="24"/>
        </w:rPr>
        <w:t>will</w:t>
      </w:r>
      <w:r>
        <w:rPr>
          <w:spacing w:val="-4"/>
          <w:sz w:val="24"/>
        </w:rPr>
        <w:t xml:space="preserve"> </w:t>
      </w:r>
      <w:r>
        <w:rPr>
          <w:sz w:val="24"/>
        </w:rPr>
        <w:t>remain</w:t>
      </w:r>
      <w:r>
        <w:rPr>
          <w:spacing w:val="-4"/>
          <w:sz w:val="24"/>
        </w:rPr>
        <w:t xml:space="preserve"> </w:t>
      </w:r>
      <w:r>
        <w:rPr>
          <w:sz w:val="24"/>
        </w:rPr>
        <w:t>a</w:t>
      </w:r>
      <w:r>
        <w:rPr>
          <w:spacing w:val="-5"/>
          <w:sz w:val="24"/>
        </w:rPr>
        <w:t xml:space="preserve"> </w:t>
      </w:r>
      <w:r>
        <w:rPr>
          <w:sz w:val="24"/>
        </w:rPr>
        <w:t>lower-income dwelling</w:t>
      </w:r>
      <w:r>
        <w:rPr>
          <w:spacing w:val="-7"/>
          <w:sz w:val="24"/>
        </w:rPr>
        <w:t xml:space="preserve"> </w:t>
      </w:r>
      <w:r>
        <w:rPr>
          <w:sz w:val="24"/>
        </w:rPr>
        <w:t>unit</w:t>
      </w:r>
      <w:r>
        <w:rPr>
          <w:spacing w:val="-4"/>
          <w:sz w:val="24"/>
        </w:rPr>
        <w:t xml:space="preserve"> </w:t>
      </w:r>
      <w:r>
        <w:rPr>
          <w:sz w:val="24"/>
        </w:rPr>
        <w:t>for</w:t>
      </w:r>
      <w:r>
        <w:rPr>
          <w:spacing w:val="-5"/>
          <w:sz w:val="24"/>
        </w:rPr>
        <w:t xml:space="preserve"> </w:t>
      </w:r>
      <w:r>
        <w:rPr>
          <w:sz w:val="24"/>
        </w:rPr>
        <w:t>at</w:t>
      </w:r>
      <w:r>
        <w:rPr>
          <w:spacing w:val="-4"/>
          <w:sz w:val="24"/>
        </w:rPr>
        <w:t xml:space="preserve"> </w:t>
      </w:r>
      <w:r>
        <w:rPr>
          <w:sz w:val="24"/>
        </w:rPr>
        <w:t>least</w:t>
      </w:r>
      <w:r>
        <w:rPr>
          <w:spacing w:val="-4"/>
          <w:sz w:val="24"/>
        </w:rPr>
        <w:t xml:space="preserve"> </w:t>
      </w:r>
      <w:r>
        <w:rPr>
          <w:sz w:val="24"/>
        </w:rPr>
        <w:t>10</w:t>
      </w:r>
      <w:r>
        <w:rPr>
          <w:spacing w:val="-4"/>
          <w:sz w:val="24"/>
        </w:rPr>
        <w:t xml:space="preserve"> </w:t>
      </w:r>
      <w:r>
        <w:rPr>
          <w:sz w:val="24"/>
        </w:rPr>
        <w:t>years</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date</w:t>
      </w:r>
      <w:r>
        <w:rPr>
          <w:spacing w:val="-5"/>
          <w:sz w:val="24"/>
        </w:rPr>
        <w:t xml:space="preserve"> </w:t>
      </w:r>
      <w:r>
        <w:rPr>
          <w:sz w:val="24"/>
        </w:rPr>
        <w:t>of</w:t>
      </w:r>
      <w:r>
        <w:rPr>
          <w:spacing w:val="-5"/>
          <w:sz w:val="24"/>
        </w:rPr>
        <w:t xml:space="preserve"> </w:t>
      </w:r>
      <w:r>
        <w:rPr>
          <w:sz w:val="24"/>
        </w:rPr>
        <w:t>initial</w:t>
      </w:r>
      <w:r>
        <w:rPr>
          <w:spacing w:val="-4"/>
          <w:sz w:val="24"/>
        </w:rPr>
        <w:t xml:space="preserve"> </w:t>
      </w:r>
      <w:r>
        <w:rPr>
          <w:sz w:val="24"/>
        </w:rPr>
        <w:t>occupancy;</w:t>
      </w:r>
      <w:r>
        <w:rPr>
          <w:spacing w:val="-4"/>
          <w:sz w:val="24"/>
        </w:rPr>
        <w:t xml:space="preserve"> </w:t>
      </w:r>
      <w:r>
        <w:rPr>
          <w:sz w:val="24"/>
        </w:rPr>
        <w:t>and</w:t>
      </w:r>
    </w:p>
    <w:p w14:paraId="3443FBF5" w14:textId="77777777" w:rsidR="00C1180A" w:rsidRDefault="00C1180A">
      <w:pPr>
        <w:pStyle w:val="BodyText"/>
        <w:spacing w:before="6"/>
      </w:pPr>
    </w:p>
    <w:p w14:paraId="3443FBF6" w14:textId="77777777" w:rsidR="00C1180A" w:rsidRDefault="00CA7EDA">
      <w:pPr>
        <w:pStyle w:val="ListParagraph"/>
        <w:numPr>
          <w:ilvl w:val="0"/>
          <w:numId w:val="1"/>
        </w:numPr>
        <w:tabs>
          <w:tab w:val="left" w:pos="480"/>
        </w:tabs>
        <w:spacing w:line="247" w:lineRule="auto"/>
        <w:ind w:left="479" w:right="623"/>
        <w:rPr>
          <w:sz w:val="24"/>
        </w:rPr>
      </w:pPr>
      <w:r>
        <w:rPr>
          <w:sz w:val="24"/>
        </w:rPr>
        <w:t>Information</w:t>
      </w:r>
      <w:r>
        <w:rPr>
          <w:spacing w:val="-4"/>
          <w:sz w:val="24"/>
        </w:rPr>
        <w:t xml:space="preserve"> </w:t>
      </w:r>
      <w:r>
        <w:rPr>
          <w:sz w:val="24"/>
        </w:rPr>
        <w:t>demonstrating</w:t>
      </w:r>
      <w:r>
        <w:rPr>
          <w:spacing w:val="-7"/>
          <w:sz w:val="24"/>
        </w:rPr>
        <w:t xml:space="preserve"> </w:t>
      </w:r>
      <w:r>
        <w:rPr>
          <w:sz w:val="24"/>
        </w:rPr>
        <w:t>that</w:t>
      </w:r>
      <w:r>
        <w:rPr>
          <w:spacing w:val="-4"/>
          <w:sz w:val="24"/>
        </w:rPr>
        <w:t xml:space="preserve"> </w:t>
      </w:r>
      <w:r>
        <w:rPr>
          <w:sz w:val="24"/>
        </w:rPr>
        <w:t>any</w:t>
      </w:r>
      <w:r>
        <w:rPr>
          <w:spacing w:val="-11"/>
          <w:sz w:val="24"/>
        </w:rPr>
        <w:t xml:space="preserve"> </w:t>
      </w:r>
      <w:r>
        <w:rPr>
          <w:sz w:val="24"/>
        </w:rPr>
        <w:t>proposed</w:t>
      </w:r>
      <w:r>
        <w:rPr>
          <w:spacing w:val="-4"/>
          <w:sz w:val="24"/>
        </w:rPr>
        <w:t xml:space="preserve"> </w:t>
      </w:r>
      <w:r>
        <w:rPr>
          <w:sz w:val="24"/>
        </w:rPr>
        <w:t>replacement</w:t>
      </w:r>
      <w:r>
        <w:rPr>
          <w:spacing w:val="-4"/>
          <w:sz w:val="24"/>
        </w:rPr>
        <w:t xml:space="preserve"> </w:t>
      </w:r>
      <w:r>
        <w:rPr>
          <w:sz w:val="24"/>
        </w:rPr>
        <w:t>of</w:t>
      </w:r>
      <w:r>
        <w:rPr>
          <w:spacing w:val="-5"/>
          <w:sz w:val="24"/>
        </w:rPr>
        <w:t xml:space="preserve"> </w:t>
      </w:r>
      <w:r>
        <w:rPr>
          <w:sz w:val="24"/>
        </w:rPr>
        <w:t>dwelling</w:t>
      </w:r>
      <w:r>
        <w:rPr>
          <w:spacing w:val="-7"/>
          <w:sz w:val="24"/>
        </w:rPr>
        <w:t xml:space="preserve"> </w:t>
      </w:r>
      <w:r>
        <w:rPr>
          <w:sz w:val="24"/>
        </w:rPr>
        <w:t>units</w:t>
      </w:r>
      <w:r>
        <w:rPr>
          <w:spacing w:val="-4"/>
          <w:sz w:val="24"/>
        </w:rPr>
        <w:t xml:space="preserve"> </w:t>
      </w:r>
      <w:r>
        <w:rPr>
          <w:sz w:val="24"/>
        </w:rPr>
        <w:t>with</w:t>
      </w:r>
      <w:r>
        <w:rPr>
          <w:spacing w:val="-4"/>
          <w:sz w:val="24"/>
        </w:rPr>
        <w:t xml:space="preserve"> </w:t>
      </w:r>
      <w:r>
        <w:rPr>
          <w:sz w:val="24"/>
        </w:rPr>
        <w:t>smaller dwelling units (e.g., a 2-bedroom unit with two 1-bedroom units) is consistent with the housing needs of lower-income households in the municipality’s</w:t>
      </w:r>
      <w:r>
        <w:rPr>
          <w:spacing w:val="-39"/>
          <w:sz w:val="24"/>
        </w:rPr>
        <w:t xml:space="preserve"> </w:t>
      </w:r>
      <w:r>
        <w:rPr>
          <w:sz w:val="24"/>
        </w:rPr>
        <w:t>jurisdiction.</w:t>
      </w:r>
    </w:p>
    <w:p w14:paraId="3443FBF7" w14:textId="77777777" w:rsidR="00C1180A" w:rsidRDefault="00C1180A">
      <w:pPr>
        <w:pStyle w:val="BodyText"/>
        <w:rPr>
          <w:sz w:val="20"/>
        </w:rPr>
      </w:pPr>
    </w:p>
    <w:p w14:paraId="3443FBF8" w14:textId="77777777" w:rsidR="00C1180A" w:rsidRDefault="00C1180A">
      <w:pPr>
        <w:pStyle w:val="BodyText"/>
        <w:rPr>
          <w:sz w:val="20"/>
        </w:rPr>
      </w:pPr>
    </w:p>
    <w:p w14:paraId="3443FBF9" w14:textId="77777777" w:rsidR="00C1180A" w:rsidRDefault="00C1180A">
      <w:pPr>
        <w:pStyle w:val="BodyText"/>
        <w:rPr>
          <w:sz w:val="20"/>
        </w:rPr>
      </w:pPr>
    </w:p>
    <w:p w14:paraId="3443FBFA" w14:textId="77777777" w:rsidR="00C1180A" w:rsidRDefault="00C1180A">
      <w:pPr>
        <w:pStyle w:val="BodyText"/>
        <w:rPr>
          <w:sz w:val="20"/>
        </w:rPr>
      </w:pPr>
    </w:p>
    <w:p w14:paraId="3443FBFB" w14:textId="77777777" w:rsidR="00C1180A" w:rsidRDefault="00371205">
      <w:pPr>
        <w:pStyle w:val="BodyText"/>
        <w:spacing w:before="5"/>
        <w:rPr>
          <w:sz w:val="11"/>
        </w:rPr>
      </w:pPr>
      <w:r>
        <w:pict w14:anchorId="3443FC05">
          <v:line id="_x0000_s2052" style="position:absolute;z-index:251656704;mso-wrap-distance-left:0;mso-wrap-distance-right:0;mso-position-horizontal-relative:page" from="252pt,8.85pt" to="498pt,8.85pt" strokeweight=".21125mm">
            <w10:wrap type="topAndBottom" anchorx="page"/>
          </v:line>
        </w:pict>
      </w:r>
    </w:p>
    <w:p w14:paraId="3443FBFC" w14:textId="77777777" w:rsidR="00C1180A" w:rsidRDefault="00CA7EDA">
      <w:pPr>
        <w:pStyle w:val="BodyText"/>
        <w:ind w:left="4439" w:right="118"/>
      </w:pPr>
      <w:r>
        <w:t>(Signature of Authorized Official)</w:t>
      </w:r>
    </w:p>
    <w:p w14:paraId="3443FBFD" w14:textId="77777777" w:rsidR="00C1180A" w:rsidRDefault="00C1180A">
      <w:pPr>
        <w:pStyle w:val="BodyText"/>
        <w:rPr>
          <w:sz w:val="20"/>
        </w:rPr>
      </w:pPr>
    </w:p>
    <w:p w14:paraId="3443FBFE" w14:textId="77777777" w:rsidR="00C1180A" w:rsidRDefault="00C1180A">
      <w:pPr>
        <w:pStyle w:val="BodyText"/>
        <w:rPr>
          <w:sz w:val="20"/>
        </w:rPr>
      </w:pPr>
    </w:p>
    <w:p w14:paraId="3443FBFF" w14:textId="77777777" w:rsidR="00C1180A" w:rsidRDefault="00371205">
      <w:pPr>
        <w:pStyle w:val="BodyText"/>
        <w:spacing w:before="6"/>
        <w:rPr>
          <w:sz w:val="27"/>
        </w:rPr>
      </w:pPr>
      <w:r>
        <w:pict w14:anchorId="3443FC06">
          <v:line id="_x0000_s2051" style="position:absolute;z-index:251657728;mso-wrap-distance-left:0;mso-wrap-distance-right:0;mso-position-horizontal-relative:page" from="252pt,18.1pt" to="498pt,18.1pt" strokeweight=".21125mm">
            <w10:wrap type="topAndBottom" anchorx="page"/>
          </v:line>
        </w:pict>
      </w:r>
    </w:p>
    <w:p w14:paraId="3443FC00" w14:textId="77777777" w:rsidR="00C1180A" w:rsidRDefault="00CA7EDA">
      <w:pPr>
        <w:pStyle w:val="BodyText"/>
        <w:ind w:left="4439" w:right="118"/>
      </w:pPr>
      <w:r>
        <w:t>(Title of Authorized Official)</w:t>
      </w:r>
    </w:p>
    <w:p w14:paraId="3443FC01" w14:textId="77777777" w:rsidR="00C1180A" w:rsidRDefault="00C1180A">
      <w:pPr>
        <w:pStyle w:val="BodyText"/>
        <w:rPr>
          <w:sz w:val="20"/>
        </w:rPr>
      </w:pPr>
    </w:p>
    <w:p w14:paraId="3443FC02" w14:textId="77777777" w:rsidR="00C1180A" w:rsidRDefault="00C1180A">
      <w:pPr>
        <w:pStyle w:val="BodyText"/>
        <w:rPr>
          <w:sz w:val="20"/>
        </w:rPr>
      </w:pPr>
    </w:p>
    <w:p w14:paraId="3443FC03" w14:textId="77777777" w:rsidR="00C1180A" w:rsidRDefault="00371205">
      <w:pPr>
        <w:pStyle w:val="BodyText"/>
        <w:spacing w:before="6"/>
        <w:rPr>
          <w:sz w:val="27"/>
        </w:rPr>
      </w:pPr>
      <w:r>
        <w:pict w14:anchorId="3443FC07">
          <v:line id="_x0000_s2050" style="position:absolute;z-index:251658752;mso-wrap-distance-left:0;mso-wrap-distance-right:0;mso-position-horizontal-relative:page" from="252pt,18.1pt" to="438pt,18.1pt" strokeweight=".21125mm">
            <w10:wrap type="topAndBottom" anchorx="page"/>
          </v:line>
        </w:pict>
      </w:r>
    </w:p>
    <w:p w14:paraId="3443FC04" w14:textId="77777777" w:rsidR="00C1180A" w:rsidRDefault="00CA7EDA">
      <w:pPr>
        <w:pStyle w:val="BodyText"/>
        <w:ind w:left="5138" w:right="3808"/>
        <w:jc w:val="center"/>
      </w:pPr>
      <w:r>
        <w:t>(Date)</w:t>
      </w:r>
    </w:p>
    <w:sectPr w:rsidR="00C1180A">
      <w:pgSz w:w="12240" w:h="15840"/>
      <w:pgMar w:top="960" w:right="1320" w:bottom="1920" w:left="1320" w:header="0" w:footer="172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3FC0D" w14:textId="77777777" w:rsidR="00A33DAC" w:rsidRDefault="00CA7EDA">
      <w:r>
        <w:separator/>
      </w:r>
    </w:p>
  </w:endnote>
  <w:endnote w:type="continuationSeparator" w:id="0">
    <w:p w14:paraId="3443FC0F" w14:textId="77777777" w:rsidR="00A33DAC" w:rsidRDefault="00CA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39FFB" w14:textId="77777777" w:rsidR="008579B4" w:rsidRDefault="008579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3FC08" w14:textId="468CFB5E" w:rsidR="00C1180A" w:rsidRDefault="00371205">
    <w:pPr>
      <w:pStyle w:val="BodyText"/>
      <w:spacing w:line="14" w:lineRule="auto"/>
      <w:rPr>
        <w:sz w:val="20"/>
      </w:rPr>
    </w:pPr>
    <w:r>
      <w:pict w14:anchorId="3443FC09">
        <v:shapetype id="_x0000_t202" coordsize="21600,21600" o:spt="202" path="m,l,21600r21600,l21600,xe">
          <v:stroke joinstyle="miter"/>
          <v:path gradientshapeok="t" o:connecttype="rect"/>
        </v:shapetype>
        <v:shape id="_x0000_s1026" type="#_x0000_t202" style="position:absolute;margin-left:296.55pt;margin-top:694.95pt;width:18.9pt;height:14pt;z-index:-251658752;mso-position-horizontal-relative:page;mso-position-vertical-relative:page" filled="f" stroked="f">
          <v:textbox inset="0,0,0,0">
            <w:txbxContent>
              <w:p w14:paraId="3443FC0B" w14:textId="3B7B5D39" w:rsidR="00C1180A" w:rsidRDefault="00CA7EDA">
                <w:pPr>
                  <w:pStyle w:val="BodyText"/>
                  <w:spacing w:line="268" w:lineRule="exact"/>
                  <w:ind w:left="40"/>
                  <w:rPr>
                    <w:rFonts w:ascii="Bookman Old Style"/>
                  </w:rPr>
                </w:pPr>
                <w:r>
                  <w:fldChar w:fldCharType="begin"/>
                </w:r>
                <w:r>
                  <w:rPr>
                    <w:rFonts w:ascii="Bookman Old Style"/>
                  </w:rPr>
                  <w:instrText xml:space="preserve"> PAGE </w:instrText>
                </w:r>
                <w:r>
                  <w:fldChar w:fldCharType="separate"/>
                </w:r>
                <w:r w:rsidR="00371205">
                  <w:rPr>
                    <w:rFonts w:ascii="Bookman Old Style"/>
                    <w:noProof/>
                  </w:rPr>
                  <w:t>75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8F56" w14:textId="77777777" w:rsidR="008579B4" w:rsidRDefault="008579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3FC09" w14:textId="77777777" w:rsidR="00A33DAC" w:rsidRDefault="00CA7EDA">
      <w:r>
        <w:separator/>
      </w:r>
    </w:p>
  </w:footnote>
  <w:footnote w:type="continuationSeparator" w:id="0">
    <w:p w14:paraId="3443FC0B" w14:textId="77777777" w:rsidR="00A33DAC" w:rsidRDefault="00CA7E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A7096" w14:textId="77777777" w:rsidR="008579B4" w:rsidRDefault="008579B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6F016" w14:textId="757B7FA7" w:rsidR="002F5092" w:rsidRPr="00CA7EDA" w:rsidRDefault="002F5092" w:rsidP="00CA7EDA">
    <w:pPr>
      <w:pStyle w:val="Header"/>
      <w:jc w:val="right"/>
      <w:rPr>
        <w:sz w:val="28"/>
        <w:szCs w:val="28"/>
      </w:rPr>
    </w:pPr>
    <w:r w:rsidRPr="00CA7EDA">
      <w:rPr>
        <w:sz w:val="28"/>
        <w:szCs w:val="28"/>
      </w:rPr>
      <w:t xml:space="preserve">Exhibit </w:t>
    </w:r>
    <w:r w:rsidR="00CA7EDA" w:rsidRPr="00CA7EDA">
      <w:rPr>
        <w:sz w:val="28"/>
        <w:szCs w:val="28"/>
      </w:rPr>
      <w:t>G</w:t>
    </w:r>
    <w:r w:rsidR="00371205">
      <w:rPr>
        <w:sz w:val="28"/>
        <w:szCs w:val="28"/>
      </w:rPr>
      <w:t>3</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EC8D1" w14:textId="77777777" w:rsidR="008579B4" w:rsidRDefault="008579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C0DD1"/>
    <w:multiLevelType w:val="hybridMultilevel"/>
    <w:tmpl w:val="70725974"/>
    <w:lvl w:ilvl="0" w:tplc="4D2C1A7C">
      <w:start w:val="1"/>
      <w:numFmt w:val="decimal"/>
      <w:lvlText w:val="%1)"/>
      <w:lvlJc w:val="left"/>
      <w:pPr>
        <w:ind w:left="480" w:hanging="360"/>
        <w:jc w:val="left"/>
      </w:pPr>
      <w:rPr>
        <w:rFonts w:ascii="Times New Roman" w:eastAsia="Times New Roman" w:hAnsi="Times New Roman" w:cs="Times New Roman" w:hint="default"/>
        <w:w w:val="99"/>
        <w:sz w:val="24"/>
        <w:szCs w:val="24"/>
      </w:rPr>
    </w:lvl>
    <w:lvl w:ilvl="1" w:tplc="7F86B07E">
      <w:numFmt w:val="bullet"/>
      <w:lvlText w:val="•"/>
      <w:lvlJc w:val="left"/>
      <w:pPr>
        <w:ind w:left="1392" w:hanging="360"/>
      </w:pPr>
      <w:rPr>
        <w:rFonts w:hint="default"/>
      </w:rPr>
    </w:lvl>
    <w:lvl w:ilvl="2" w:tplc="75A4B3BE">
      <w:numFmt w:val="bullet"/>
      <w:lvlText w:val="•"/>
      <w:lvlJc w:val="left"/>
      <w:pPr>
        <w:ind w:left="2304" w:hanging="360"/>
      </w:pPr>
      <w:rPr>
        <w:rFonts w:hint="default"/>
      </w:rPr>
    </w:lvl>
    <w:lvl w:ilvl="3" w:tplc="0D98ECCC">
      <w:numFmt w:val="bullet"/>
      <w:lvlText w:val="•"/>
      <w:lvlJc w:val="left"/>
      <w:pPr>
        <w:ind w:left="3216" w:hanging="360"/>
      </w:pPr>
      <w:rPr>
        <w:rFonts w:hint="default"/>
      </w:rPr>
    </w:lvl>
    <w:lvl w:ilvl="4" w:tplc="D25CBBC8">
      <w:numFmt w:val="bullet"/>
      <w:lvlText w:val="•"/>
      <w:lvlJc w:val="left"/>
      <w:pPr>
        <w:ind w:left="4128" w:hanging="360"/>
      </w:pPr>
      <w:rPr>
        <w:rFonts w:hint="default"/>
      </w:rPr>
    </w:lvl>
    <w:lvl w:ilvl="5" w:tplc="93AA529E">
      <w:numFmt w:val="bullet"/>
      <w:lvlText w:val="•"/>
      <w:lvlJc w:val="left"/>
      <w:pPr>
        <w:ind w:left="5040" w:hanging="360"/>
      </w:pPr>
      <w:rPr>
        <w:rFonts w:hint="default"/>
      </w:rPr>
    </w:lvl>
    <w:lvl w:ilvl="6" w:tplc="E110D0F2">
      <w:numFmt w:val="bullet"/>
      <w:lvlText w:val="•"/>
      <w:lvlJc w:val="left"/>
      <w:pPr>
        <w:ind w:left="5952" w:hanging="360"/>
      </w:pPr>
      <w:rPr>
        <w:rFonts w:hint="default"/>
      </w:rPr>
    </w:lvl>
    <w:lvl w:ilvl="7" w:tplc="677EE800">
      <w:numFmt w:val="bullet"/>
      <w:lvlText w:val="•"/>
      <w:lvlJc w:val="left"/>
      <w:pPr>
        <w:ind w:left="6864" w:hanging="360"/>
      </w:pPr>
      <w:rPr>
        <w:rFonts w:hint="default"/>
      </w:rPr>
    </w:lvl>
    <w:lvl w:ilvl="8" w:tplc="E222C4D4">
      <w:numFmt w:val="bullet"/>
      <w:lvlText w:val="•"/>
      <w:lvlJc w:val="left"/>
      <w:pPr>
        <w:ind w:left="7776" w:hanging="360"/>
      </w:pPr>
      <w:rPr>
        <w:rFonts w:hint="default"/>
      </w:rPr>
    </w:lvl>
  </w:abstractNum>
  <w:abstractNum w:abstractNumId="1" w15:restartNumberingAfterBreak="0">
    <w:nsid w:val="43531135"/>
    <w:multiLevelType w:val="hybridMultilevel"/>
    <w:tmpl w:val="A80A27EC"/>
    <w:lvl w:ilvl="0" w:tplc="1674BF8C">
      <w:start w:val="1"/>
      <w:numFmt w:val="decimal"/>
      <w:lvlText w:val="%1."/>
      <w:lvlJc w:val="left"/>
      <w:pPr>
        <w:ind w:left="480" w:hanging="360"/>
        <w:jc w:val="left"/>
      </w:pPr>
      <w:rPr>
        <w:rFonts w:ascii="Times New Roman" w:eastAsia="Times New Roman" w:hAnsi="Times New Roman" w:cs="Times New Roman" w:hint="default"/>
        <w:w w:val="99"/>
        <w:sz w:val="24"/>
        <w:szCs w:val="24"/>
      </w:rPr>
    </w:lvl>
    <w:lvl w:ilvl="1" w:tplc="FF109E22">
      <w:numFmt w:val="bullet"/>
      <w:lvlText w:val="•"/>
      <w:lvlJc w:val="left"/>
      <w:pPr>
        <w:ind w:left="1392" w:hanging="360"/>
      </w:pPr>
      <w:rPr>
        <w:rFonts w:hint="default"/>
      </w:rPr>
    </w:lvl>
    <w:lvl w:ilvl="2" w:tplc="18422394">
      <w:numFmt w:val="bullet"/>
      <w:lvlText w:val="•"/>
      <w:lvlJc w:val="left"/>
      <w:pPr>
        <w:ind w:left="2304" w:hanging="360"/>
      </w:pPr>
      <w:rPr>
        <w:rFonts w:hint="default"/>
      </w:rPr>
    </w:lvl>
    <w:lvl w:ilvl="3" w:tplc="29643096">
      <w:numFmt w:val="bullet"/>
      <w:lvlText w:val="•"/>
      <w:lvlJc w:val="left"/>
      <w:pPr>
        <w:ind w:left="3216" w:hanging="360"/>
      </w:pPr>
      <w:rPr>
        <w:rFonts w:hint="default"/>
      </w:rPr>
    </w:lvl>
    <w:lvl w:ilvl="4" w:tplc="7A78E470">
      <w:numFmt w:val="bullet"/>
      <w:lvlText w:val="•"/>
      <w:lvlJc w:val="left"/>
      <w:pPr>
        <w:ind w:left="4128" w:hanging="360"/>
      </w:pPr>
      <w:rPr>
        <w:rFonts w:hint="default"/>
      </w:rPr>
    </w:lvl>
    <w:lvl w:ilvl="5" w:tplc="26225EA8">
      <w:numFmt w:val="bullet"/>
      <w:lvlText w:val="•"/>
      <w:lvlJc w:val="left"/>
      <w:pPr>
        <w:ind w:left="5040" w:hanging="360"/>
      </w:pPr>
      <w:rPr>
        <w:rFonts w:hint="default"/>
      </w:rPr>
    </w:lvl>
    <w:lvl w:ilvl="6" w:tplc="AC18BD46">
      <w:numFmt w:val="bullet"/>
      <w:lvlText w:val="•"/>
      <w:lvlJc w:val="left"/>
      <w:pPr>
        <w:ind w:left="5952" w:hanging="360"/>
      </w:pPr>
      <w:rPr>
        <w:rFonts w:hint="default"/>
      </w:rPr>
    </w:lvl>
    <w:lvl w:ilvl="7" w:tplc="D60C3734">
      <w:numFmt w:val="bullet"/>
      <w:lvlText w:val="•"/>
      <w:lvlJc w:val="left"/>
      <w:pPr>
        <w:ind w:left="6864" w:hanging="360"/>
      </w:pPr>
      <w:rPr>
        <w:rFonts w:hint="default"/>
      </w:rPr>
    </w:lvl>
    <w:lvl w:ilvl="8" w:tplc="43C2E078">
      <w:numFmt w:val="bullet"/>
      <w:lvlText w:val="•"/>
      <w:lvlJc w:val="left"/>
      <w:pPr>
        <w:ind w:left="7776"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1180A"/>
    <w:rsid w:val="002F5092"/>
    <w:rsid w:val="00371205"/>
    <w:rsid w:val="008579B4"/>
    <w:rsid w:val="00A33DAC"/>
    <w:rsid w:val="00C1180A"/>
    <w:rsid w:val="00CA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43FBBC"/>
  <w15:docId w15:val="{B0913ECE-A428-46FB-9EB1-3B23FE9E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righ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5092"/>
    <w:pPr>
      <w:tabs>
        <w:tab w:val="center" w:pos="4680"/>
        <w:tab w:val="right" w:pos="9360"/>
      </w:tabs>
    </w:pPr>
  </w:style>
  <w:style w:type="character" w:customStyle="1" w:styleId="HeaderChar">
    <w:name w:val="Header Char"/>
    <w:basedOn w:val="DefaultParagraphFont"/>
    <w:link w:val="Header"/>
    <w:uiPriority w:val="99"/>
    <w:rsid w:val="002F5092"/>
    <w:rPr>
      <w:rFonts w:ascii="Times New Roman" w:eastAsia="Times New Roman" w:hAnsi="Times New Roman" w:cs="Times New Roman"/>
    </w:rPr>
  </w:style>
  <w:style w:type="paragraph" w:styleId="Footer">
    <w:name w:val="footer"/>
    <w:basedOn w:val="Normal"/>
    <w:link w:val="FooterChar"/>
    <w:uiPriority w:val="99"/>
    <w:unhideWhenUsed/>
    <w:rsid w:val="002F5092"/>
    <w:pPr>
      <w:tabs>
        <w:tab w:val="center" w:pos="4680"/>
        <w:tab w:val="right" w:pos="9360"/>
      </w:tabs>
    </w:pPr>
  </w:style>
  <w:style w:type="character" w:customStyle="1" w:styleId="FooterChar">
    <w:name w:val="Footer Char"/>
    <w:basedOn w:val="DefaultParagraphFont"/>
    <w:link w:val="Footer"/>
    <w:uiPriority w:val="99"/>
    <w:rsid w:val="002F509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Application Handbook FINAL.docx</dc:title>
  <dc:creator>MihmJ</dc:creator>
  <cp:lastModifiedBy>Carew, Dominic A</cp:lastModifiedBy>
  <cp:revision>5</cp:revision>
  <dcterms:created xsi:type="dcterms:W3CDTF">2019-11-25T12:20:00Z</dcterms:created>
  <dcterms:modified xsi:type="dcterms:W3CDTF">2020-03-03T18:58:00Z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Creator">
    <vt:lpwstr>PScript5.dll Version 5.2.2</vt:lpwstr>
  </property>
  <property fmtid="{D5CDD505-2E9C-101B-9397-08002B2CF9AE}" pid="4" name="LastSaved">
    <vt:filetime>2019-11-25T00:00:00Z</vt:filetime>
  </property>
</Properties>
</file>