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91" w:rsidRPr="00D70091" w:rsidRDefault="00D70091" w:rsidP="00D70091">
      <w:pPr>
        <w:jc w:val="center"/>
        <w:rPr>
          <w:b/>
        </w:rPr>
      </w:pPr>
      <w:r w:rsidRPr="00D70091">
        <w:rPr>
          <w:b/>
        </w:rPr>
        <w:t>SALES TAX CALCULATOR</w:t>
      </w:r>
    </w:p>
    <w:p w:rsidR="00D70091" w:rsidRDefault="000E3592" w:rsidP="00733DD3">
      <w:pPr>
        <w:spacing w:line="240" w:lineRule="auto"/>
        <w:contextualSpacing/>
        <w:rPr>
          <w:b/>
        </w:rPr>
      </w:pPr>
      <w:r>
        <w:rPr>
          <w:b/>
        </w:rPr>
        <w:t>THE SALES TAX C</w:t>
      </w:r>
      <w:r w:rsidR="00B56333">
        <w:rPr>
          <w:b/>
        </w:rPr>
        <w:t>AL</w:t>
      </w:r>
      <w:r>
        <w:rPr>
          <w:b/>
        </w:rPr>
        <w:t xml:space="preserve">CULATOR </w:t>
      </w:r>
      <w:r w:rsidR="007F54A3" w:rsidRPr="007F54A3">
        <w:rPr>
          <w:b/>
          <w:u w:val="single"/>
        </w:rPr>
        <w:t>MUST</w:t>
      </w:r>
      <w:r>
        <w:rPr>
          <w:b/>
        </w:rPr>
        <w:t xml:space="preserve"> </w:t>
      </w:r>
      <w:r w:rsidR="00D70091" w:rsidRPr="00D70091">
        <w:rPr>
          <w:b/>
        </w:rPr>
        <w:t xml:space="preserve">BE USED ON </w:t>
      </w:r>
      <w:r w:rsidR="004F0331">
        <w:rPr>
          <w:b/>
        </w:rPr>
        <w:t>EVERY OUT OF STATE DEALER TRANSACTION</w:t>
      </w:r>
      <w:r w:rsidR="007F54A3">
        <w:rPr>
          <w:b/>
        </w:rPr>
        <w:t>.</w:t>
      </w:r>
      <w:r w:rsidR="00B56333">
        <w:rPr>
          <w:b/>
        </w:rPr>
        <w:t xml:space="preserve">   </w:t>
      </w:r>
      <w:r w:rsidR="007F54A3">
        <w:rPr>
          <w:b/>
        </w:rPr>
        <w:t xml:space="preserve"> (NOTE: As a tool </w:t>
      </w:r>
      <w:r w:rsidR="00B56333">
        <w:rPr>
          <w:b/>
        </w:rPr>
        <w:t xml:space="preserve">the sales tax calculator </w:t>
      </w:r>
      <w:r w:rsidR="007F54A3">
        <w:rPr>
          <w:b/>
        </w:rPr>
        <w:t>can be used on any vehicle purchased from a Dealer)</w:t>
      </w:r>
    </w:p>
    <w:p w:rsidR="00733DD3" w:rsidRPr="00D70091" w:rsidRDefault="00733DD3" w:rsidP="00733DD3">
      <w:pPr>
        <w:spacing w:line="240" w:lineRule="auto"/>
        <w:contextualSpacing/>
        <w:rPr>
          <w:b/>
        </w:rPr>
      </w:pPr>
    </w:p>
    <w:p w:rsidR="00733DD3" w:rsidRDefault="00267F40" w:rsidP="00733DD3">
      <w:pPr>
        <w:spacing w:line="240" w:lineRule="auto"/>
        <w:contextualSpacing/>
      </w:pPr>
      <w:r>
        <w:t>Sales tax is cha</w:t>
      </w:r>
      <w:r w:rsidR="00EC14DA">
        <w:t>r</w:t>
      </w:r>
      <w:r>
        <w:t>ged at a rate of 6.35% for any vehicle</w:t>
      </w:r>
      <w:r w:rsidR="00434AE6">
        <w:t>/vessel</w:t>
      </w:r>
      <w:r>
        <w:t xml:space="preserve"> </w:t>
      </w:r>
      <w:r w:rsidR="001A4BB1">
        <w:t>regardless of usage</w:t>
      </w:r>
      <w:r w:rsidR="008E718B">
        <w:t xml:space="preserve"> with the exception of those vehicles that are </w:t>
      </w:r>
      <w:proofErr w:type="gramStart"/>
      <w:r w:rsidR="008E718B" w:rsidRPr="00E64F22">
        <w:rPr>
          <w:b/>
        </w:rPr>
        <w:t>EXEMPT</w:t>
      </w:r>
      <w:proofErr w:type="gramEnd"/>
      <w:r w:rsidR="008E718B">
        <w:t xml:space="preserve"> from sales tax</w:t>
      </w:r>
      <w:r w:rsidR="001A4BB1">
        <w:t>.</w:t>
      </w:r>
    </w:p>
    <w:p w:rsidR="00602CA8" w:rsidRDefault="001A4BB1" w:rsidP="00733DD3">
      <w:pPr>
        <w:spacing w:line="240" w:lineRule="auto"/>
        <w:contextualSpacing/>
      </w:pPr>
      <w:r>
        <w:t xml:space="preserve"> </w:t>
      </w:r>
    </w:p>
    <w:p w:rsidR="00EC14DA" w:rsidRDefault="00EC14DA" w:rsidP="00733DD3">
      <w:pPr>
        <w:spacing w:line="240" w:lineRule="auto"/>
        <w:contextualSpacing/>
        <w:rPr>
          <w:b/>
          <w:color w:val="FF0000"/>
          <w:u w:val="single"/>
        </w:rPr>
      </w:pPr>
      <w:r>
        <w:t xml:space="preserve">Sales tax is charged at a rate of 7.75% for any vehicle registered as passenger or combination when the total cost of the vehicle </w:t>
      </w:r>
      <w:r w:rsidR="008E718B">
        <w:t>more than</w:t>
      </w:r>
      <w:r>
        <w:t xml:space="preserve"> $50,000. </w:t>
      </w:r>
      <w:r w:rsidR="004F0331" w:rsidRPr="00733DD3">
        <w:rPr>
          <w:b/>
          <w:color w:val="FF0000"/>
          <w:u w:val="single"/>
        </w:rPr>
        <w:t xml:space="preserve">NOTE:  Examiner </w:t>
      </w:r>
      <w:r w:rsidR="00733DD3" w:rsidRPr="00733DD3">
        <w:rPr>
          <w:b/>
          <w:color w:val="FF0000"/>
          <w:u w:val="single"/>
        </w:rPr>
        <w:t>MUST</w:t>
      </w:r>
      <w:r w:rsidR="004F0331" w:rsidRPr="00733DD3">
        <w:rPr>
          <w:b/>
          <w:color w:val="FF0000"/>
          <w:u w:val="single"/>
        </w:rPr>
        <w:t xml:space="preserve"> change the sales tax rate in the CIVLS application to 7.75%</w:t>
      </w:r>
    </w:p>
    <w:p w:rsidR="00733DD3" w:rsidRPr="00733DD3" w:rsidRDefault="00733DD3" w:rsidP="00733DD3">
      <w:pPr>
        <w:spacing w:line="240" w:lineRule="auto"/>
        <w:contextualSpacing/>
        <w:rPr>
          <w:b/>
          <w:color w:val="FF0000"/>
          <w:u w:val="single"/>
        </w:rPr>
      </w:pPr>
    </w:p>
    <w:p w:rsidR="00602CA8" w:rsidRPr="00733DD3" w:rsidRDefault="00EC14DA" w:rsidP="00733DD3">
      <w:pPr>
        <w:spacing w:line="240" w:lineRule="auto"/>
        <w:contextualSpacing/>
        <w:rPr>
          <w:b/>
          <w:color w:val="FF0000"/>
        </w:rPr>
      </w:pPr>
      <w:r>
        <w:t xml:space="preserve">When any of the below </w:t>
      </w:r>
      <w:r w:rsidR="008E718B" w:rsidRPr="008E718B">
        <w:rPr>
          <w:b/>
        </w:rPr>
        <w:t>Taxable Item</w:t>
      </w:r>
      <w:r w:rsidR="00F267DD">
        <w:rPr>
          <w:b/>
        </w:rPr>
        <w:t>s</w:t>
      </w:r>
      <w:r>
        <w:t xml:space="preserve"> are added to the selling price of the vehicle and it brings the vehicle </w:t>
      </w:r>
      <w:r w:rsidR="00C67077">
        <w:t xml:space="preserve">selling price </w:t>
      </w:r>
      <w:r w:rsidR="008E718B">
        <w:t>over</w:t>
      </w:r>
      <w:r w:rsidR="00C67077">
        <w:t xml:space="preserve"> $50000</w:t>
      </w:r>
      <w:r w:rsidR="00733DD3">
        <w:t>.00</w:t>
      </w:r>
      <w:r w:rsidR="008E718B">
        <w:t>,</w:t>
      </w:r>
      <w:r w:rsidR="00C67077">
        <w:t xml:space="preserve"> the </w:t>
      </w:r>
      <w:r w:rsidR="00D70091" w:rsidRPr="00733DD3">
        <w:rPr>
          <w:b/>
          <w:color w:val="FF0000"/>
        </w:rPr>
        <w:t xml:space="preserve">sales tax rate </w:t>
      </w:r>
      <w:r w:rsidR="00733DD3" w:rsidRPr="00733DD3">
        <w:rPr>
          <w:b/>
          <w:color w:val="FF0000"/>
        </w:rPr>
        <w:t>of 7.75% is charged and must be changed in the Sales Tax Tab in CIVLS</w:t>
      </w:r>
      <w:r w:rsidR="00C67077" w:rsidRPr="00733DD3">
        <w:rPr>
          <w:b/>
          <w:color w:val="FF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1350"/>
        <w:gridCol w:w="1458"/>
      </w:tblGrid>
      <w:tr w:rsidR="00602CA8" w:rsidTr="005C56EA">
        <w:tc>
          <w:tcPr>
            <w:tcW w:w="6768" w:type="dxa"/>
          </w:tcPr>
          <w:p w:rsidR="00602CA8" w:rsidRPr="000E3592" w:rsidRDefault="00975EF1" w:rsidP="000E3592">
            <w:pPr>
              <w:jc w:val="center"/>
              <w:rPr>
                <w:b/>
              </w:rPr>
            </w:pPr>
            <w:r>
              <w:rPr>
                <w:b/>
              </w:rPr>
              <w:t>TAXABLE ITEM DESCRIPTION</w:t>
            </w:r>
          </w:p>
        </w:tc>
        <w:tc>
          <w:tcPr>
            <w:tcW w:w="1350" w:type="dxa"/>
          </w:tcPr>
          <w:p w:rsidR="00602CA8" w:rsidRDefault="00602CA8" w:rsidP="001A4BB1">
            <w:r>
              <w:t xml:space="preserve">Taxable </w:t>
            </w:r>
            <w:r w:rsidR="00BD3FC7">
              <w:t>at 6.35%</w:t>
            </w:r>
            <w:r w:rsidR="001A4BB1">
              <w:t xml:space="preserve"> </w:t>
            </w:r>
          </w:p>
        </w:tc>
        <w:tc>
          <w:tcPr>
            <w:tcW w:w="1458" w:type="dxa"/>
          </w:tcPr>
          <w:p w:rsidR="00602CA8" w:rsidRDefault="00602CA8" w:rsidP="008C3311">
            <w:r>
              <w:t xml:space="preserve">Taxable </w:t>
            </w:r>
            <w:r w:rsidR="00BD3FC7">
              <w:t>at 7.75%</w:t>
            </w:r>
            <w:r w:rsidR="008C3311">
              <w:t xml:space="preserve"> - If the vehicle is $50,000.01 or more</w:t>
            </w:r>
          </w:p>
        </w:tc>
      </w:tr>
      <w:tr w:rsidR="00EA6589" w:rsidTr="005C56EA">
        <w:tc>
          <w:tcPr>
            <w:tcW w:w="6768" w:type="dxa"/>
          </w:tcPr>
          <w:p w:rsidR="00EA6589" w:rsidRDefault="00EA6589" w:rsidP="005C56EA">
            <w:r>
              <w:t>Conveyance/Document Fees</w:t>
            </w:r>
          </w:p>
        </w:tc>
        <w:tc>
          <w:tcPr>
            <w:tcW w:w="1350" w:type="dxa"/>
          </w:tcPr>
          <w:p w:rsidR="00EA6589" w:rsidRDefault="00EA6589">
            <w:r w:rsidRPr="0009054B">
              <w:t>YES</w:t>
            </w:r>
          </w:p>
        </w:tc>
        <w:tc>
          <w:tcPr>
            <w:tcW w:w="1458" w:type="dxa"/>
          </w:tcPr>
          <w:p w:rsidR="00EA6589" w:rsidRDefault="00EA6589">
            <w:r w:rsidRPr="00B660BF">
              <w:t>YES</w:t>
            </w:r>
          </w:p>
        </w:tc>
      </w:tr>
      <w:tr w:rsidR="00EA6589" w:rsidTr="005C56EA">
        <w:tc>
          <w:tcPr>
            <w:tcW w:w="6768" w:type="dxa"/>
          </w:tcPr>
          <w:p w:rsidR="00EA6589" w:rsidRDefault="00EA6589" w:rsidP="00267F40">
            <w:r>
              <w:t>Gap Insurance (If Mandatory)</w:t>
            </w:r>
          </w:p>
        </w:tc>
        <w:tc>
          <w:tcPr>
            <w:tcW w:w="1350" w:type="dxa"/>
          </w:tcPr>
          <w:p w:rsidR="00EA6589" w:rsidRDefault="00EA6589">
            <w:r w:rsidRPr="0009054B">
              <w:t>YES</w:t>
            </w:r>
          </w:p>
        </w:tc>
        <w:tc>
          <w:tcPr>
            <w:tcW w:w="1458" w:type="dxa"/>
          </w:tcPr>
          <w:p w:rsidR="00EA6589" w:rsidRDefault="00EA6589">
            <w:r w:rsidRPr="00B660BF">
              <w:t>YES</w:t>
            </w:r>
          </w:p>
        </w:tc>
      </w:tr>
      <w:tr w:rsidR="00EA6589" w:rsidTr="005C56EA">
        <w:tc>
          <w:tcPr>
            <w:tcW w:w="6768" w:type="dxa"/>
          </w:tcPr>
          <w:p w:rsidR="00EA6589" w:rsidRDefault="00EA6589" w:rsidP="005C56EA">
            <w:r>
              <w:t>VIN Etching</w:t>
            </w:r>
          </w:p>
        </w:tc>
        <w:tc>
          <w:tcPr>
            <w:tcW w:w="1350" w:type="dxa"/>
          </w:tcPr>
          <w:p w:rsidR="00EA6589" w:rsidRDefault="00EA6589">
            <w:r w:rsidRPr="0009054B">
              <w:t>YES</w:t>
            </w:r>
          </w:p>
        </w:tc>
        <w:tc>
          <w:tcPr>
            <w:tcW w:w="1458" w:type="dxa"/>
          </w:tcPr>
          <w:p w:rsidR="00EA6589" w:rsidRDefault="00EA6589">
            <w:r w:rsidRPr="00B660BF">
              <w:t>YES</w:t>
            </w:r>
          </w:p>
        </w:tc>
      </w:tr>
      <w:tr w:rsidR="00EA6589" w:rsidTr="005C56EA">
        <w:tc>
          <w:tcPr>
            <w:tcW w:w="6768" w:type="dxa"/>
          </w:tcPr>
          <w:p w:rsidR="00EA6589" w:rsidRDefault="00EA6589" w:rsidP="00267F40">
            <w:r>
              <w:t>Lo-Jack</w:t>
            </w:r>
          </w:p>
        </w:tc>
        <w:tc>
          <w:tcPr>
            <w:tcW w:w="1350" w:type="dxa"/>
          </w:tcPr>
          <w:p w:rsidR="00EA6589" w:rsidRDefault="00EA6589">
            <w:r w:rsidRPr="0009054B">
              <w:t>YES</w:t>
            </w:r>
          </w:p>
        </w:tc>
        <w:tc>
          <w:tcPr>
            <w:tcW w:w="1458" w:type="dxa"/>
          </w:tcPr>
          <w:p w:rsidR="00EA6589" w:rsidRDefault="00EA6589">
            <w:r w:rsidRPr="00B660BF">
              <w:t>YES</w:t>
            </w:r>
          </w:p>
        </w:tc>
      </w:tr>
      <w:tr w:rsidR="00EA6589" w:rsidTr="005C56EA">
        <w:tc>
          <w:tcPr>
            <w:tcW w:w="6768" w:type="dxa"/>
          </w:tcPr>
          <w:p w:rsidR="00EA6589" w:rsidRDefault="00EA6589" w:rsidP="005C56EA">
            <w:r>
              <w:t>Paint Sealant</w:t>
            </w:r>
          </w:p>
        </w:tc>
        <w:tc>
          <w:tcPr>
            <w:tcW w:w="1350" w:type="dxa"/>
          </w:tcPr>
          <w:p w:rsidR="00EA6589" w:rsidRDefault="00EA6589">
            <w:r w:rsidRPr="0009054B">
              <w:t>YES</w:t>
            </w:r>
          </w:p>
        </w:tc>
        <w:tc>
          <w:tcPr>
            <w:tcW w:w="1458" w:type="dxa"/>
          </w:tcPr>
          <w:p w:rsidR="00EA6589" w:rsidRDefault="00EA6589">
            <w:r w:rsidRPr="00B660BF">
              <w:t>YES</w:t>
            </w:r>
          </w:p>
        </w:tc>
      </w:tr>
      <w:tr w:rsidR="00EA6589" w:rsidTr="005C56EA">
        <w:tc>
          <w:tcPr>
            <w:tcW w:w="6768" w:type="dxa"/>
          </w:tcPr>
          <w:p w:rsidR="00EA6589" w:rsidRDefault="00EA6589" w:rsidP="005C56EA">
            <w:r>
              <w:t>Rust Protection</w:t>
            </w:r>
          </w:p>
        </w:tc>
        <w:tc>
          <w:tcPr>
            <w:tcW w:w="1350" w:type="dxa"/>
          </w:tcPr>
          <w:p w:rsidR="00EA6589" w:rsidRDefault="00EA6589">
            <w:r w:rsidRPr="0009054B">
              <w:t>YES</w:t>
            </w:r>
          </w:p>
        </w:tc>
        <w:tc>
          <w:tcPr>
            <w:tcW w:w="1458" w:type="dxa"/>
          </w:tcPr>
          <w:p w:rsidR="00EA6589" w:rsidRDefault="00EA6589">
            <w:r w:rsidRPr="00B660BF">
              <w:t>YES</w:t>
            </w:r>
          </w:p>
        </w:tc>
      </w:tr>
      <w:tr w:rsidR="00EA6589" w:rsidTr="005C56EA">
        <w:tc>
          <w:tcPr>
            <w:tcW w:w="6768" w:type="dxa"/>
          </w:tcPr>
          <w:p w:rsidR="00EA6589" w:rsidRDefault="00EA6589" w:rsidP="00267F40">
            <w:r>
              <w:t>Service Warranties always 6.35% (never taxed at 7.75%)</w:t>
            </w:r>
          </w:p>
        </w:tc>
        <w:tc>
          <w:tcPr>
            <w:tcW w:w="1350" w:type="dxa"/>
          </w:tcPr>
          <w:p w:rsidR="00EA6589" w:rsidRDefault="00EA6589">
            <w:r w:rsidRPr="0009054B">
              <w:t>YES</w:t>
            </w:r>
          </w:p>
        </w:tc>
        <w:tc>
          <w:tcPr>
            <w:tcW w:w="1458" w:type="dxa"/>
          </w:tcPr>
          <w:p w:rsidR="00EA6589" w:rsidRDefault="00EA6589" w:rsidP="005C56EA">
            <w:r w:rsidRPr="00733DD3">
              <w:rPr>
                <w:color w:val="FF0000"/>
              </w:rPr>
              <w:t>Never</w:t>
            </w:r>
          </w:p>
        </w:tc>
      </w:tr>
      <w:tr w:rsidR="00EA6589" w:rsidTr="005C56EA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768" w:type="dxa"/>
          </w:tcPr>
          <w:p w:rsidR="00EA6589" w:rsidRDefault="00EA6589" w:rsidP="00267F40">
            <w:r>
              <w:t>Shipping/Freight</w:t>
            </w:r>
          </w:p>
        </w:tc>
        <w:tc>
          <w:tcPr>
            <w:tcW w:w="1350" w:type="dxa"/>
          </w:tcPr>
          <w:p w:rsidR="00EA6589" w:rsidRDefault="00EA6589">
            <w:r w:rsidRPr="0009054B">
              <w:t>YES</w:t>
            </w:r>
          </w:p>
        </w:tc>
        <w:tc>
          <w:tcPr>
            <w:tcW w:w="1458" w:type="dxa"/>
          </w:tcPr>
          <w:p w:rsidR="00EA6589" w:rsidRDefault="00EA6589">
            <w:r w:rsidRPr="007851EE">
              <w:t>YES</w:t>
            </w:r>
          </w:p>
        </w:tc>
      </w:tr>
      <w:tr w:rsidR="00EA6589" w:rsidTr="005C56EA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768" w:type="dxa"/>
          </w:tcPr>
          <w:p w:rsidR="00EA6589" w:rsidRDefault="00EA6589" w:rsidP="005C56EA">
            <w:r>
              <w:t>Fabric Guard</w:t>
            </w:r>
          </w:p>
        </w:tc>
        <w:tc>
          <w:tcPr>
            <w:tcW w:w="1350" w:type="dxa"/>
          </w:tcPr>
          <w:p w:rsidR="00EA6589" w:rsidRDefault="00EA6589">
            <w:r w:rsidRPr="0009054B">
              <w:t>YES</w:t>
            </w:r>
          </w:p>
        </w:tc>
        <w:tc>
          <w:tcPr>
            <w:tcW w:w="1458" w:type="dxa"/>
          </w:tcPr>
          <w:p w:rsidR="00EA6589" w:rsidRDefault="00EA6589">
            <w:r w:rsidRPr="007851EE">
              <w:t>YES</w:t>
            </w:r>
          </w:p>
        </w:tc>
      </w:tr>
      <w:tr w:rsidR="00EA6589" w:rsidTr="005C56EA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768" w:type="dxa"/>
          </w:tcPr>
          <w:p w:rsidR="00EA6589" w:rsidRDefault="00EA6589" w:rsidP="00BD3FC7">
            <w:r>
              <w:t>Extended Warranty always 6.35% (never taxed at 7.75%)</w:t>
            </w:r>
          </w:p>
        </w:tc>
        <w:tc>
          <w:tcPr>
            <w:tcW w:w="1350" w:type="dxa"/>
          </w:tcPr>
          <w:p w:rsidR="00EA6589" w:rsidRDefault="00EA6589">
            <w:r w:rsidRPr="0009054B">
              <w:t>YES</w:t>
            </w:r>
          </w:p>
        </w:tc>
        <w:tc>
          <w:tcPr>
            <w:tcW w:w="1458" w:type="dxa"/>
          </w:tcPr>
          <w:p w:rsidR="00EA6589" w:rsidRDefault="00EA6589" w:rsidP="005C56EA">
            <w:r w:rsidRPr="00733DD3">
              <w:rPr>
                <w:color w:val="FF0000"/>
              </w:rPr>
              <w:t>Never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768" w:type="dxa"/>
          </w:tcPr>
          <w:p w:rsidR="00602CA8" w:rsidRDefault="00C67077" w:rsidP="00C67077">
            <w:r>
              <w:t>Misc</w:t>
            </w:r>
            <w:r w:rsidR="00975EF1">
              <w:t>.</w:t>
            </w:r>
            <w:r>
              <w:t xml:space="preserve"> (Floor Mats, Wheels etc.)</w:t>
            </w:r>
          </w:p>
        </w:tc>
        <w:tc>
          <w:tcPr>
            <w:tcW w:w="1350" w:type="dxa"/>
          </w:tcPr>
          <w:p w:rsidR="00602CA8" w:rsidRDefault="00EA6589" w:rsidP="005C56EA">
            <w:r>
              <w:t>YES</w:t>
            </w:r>
          </w:p>
        </w:tc>
        <w:tc>
          <w:tcPr>
            <w:tcW w:w="1458" w:type="dxa"/>
          </w:tcPr>
          <w:p w:rsidR="00602CA8" w:rsidRDefault="00EA6589" w:rsidP="005C56EA">
            <w:r>
              <w:t>YES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768" w:type="dxa"/>
          </w:tcPr>
          <w:p w:rsidR="00602CA8" w:rsidRDefault="00C67077" w:rsidP="001A4BB1">
            <w:r>
              <w:t xml:space="preserve">Manufacture Rebate </w:t>
            </w:r>
            <w:r w:rsidR="00975EF1">
              <w:t>is taxable in</w:t>
            </w:r>
            <w:r>
              <w:t xml:space="preserve"> CT – You will have to verify if the rebate amount is part of the selling price of the vehicle.  If the rebate has not been deducted from the vehicle</w:t>
            </w:r>
            <w:r w:rsidR="000E3592">
              <w:t xml:space="preserve"> sale</w:t>
            </w:r>
            <w:r>
              <w:t xml:space="preserve"> price then you would not tax the rebate</w:t>
            </w:r>
            <w:r w:rsidR="00975EF1">
              <w:t xml:space="preserve"> separately.</w:t>
            </w:r>
          </w:p>
        </w:tc>
        <w:tc>
          <w:tcPr>
            <w:tcW w:w="1350" w:type="dxa"/>
          </w:tcPr>
          <w:p w:rsidR="00602CA8" w:rsidRDefault="00602CA8" w:rsidP="005C56EA"/>
        </w:tc>
        <w:tc>
          <w:tcPr>
            <w:tcW w:w="1458" w:type="dxa"/>
          </w:tcPr>
          <w:p w:rsidR="00602CA8" w:rsidRDefault="00602CA8" w:rsidP="005C56EA"/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768" w:type="dxa"/>
          </w:tcPr>
          <w:p w:rsidR="00602CA8" w:rsidRDefault="00037B6B" w:rsidP="005C56EA">
            <w:r>
              <w:t>Document Service Fee</w:t>
            </w:r>
          </w:p>
        </w:tc>
        <w:tc>
          <w:tcPr>
            <w:tcW w:w="1350" w:type="dxa"/>
          </w:tcPr>
          <w:p w:rsidR="00602CA8" w:rsidRDefault="00EA6589" w:rsidP="005C56EA">
            <w:r>
              <w:t>YES</w:t>
            </w:r>
          </w:p>
        </w:tc>
        <w:tc>
          <w:tcPr>
            <w:tcW w:w="1458" w:type="dxa"/>
          </w:tcPr>
          <w:p w:rsidR="00602CA8" w:rsidRDefault="00EA6589" w:rsidP="005C56EA">
            <w:r>
              <w:t>YES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768" w:type="dxa"/>
          </w:tcPr>
          <w:p w:rsidR="00602CA8" w:rsidRDefault="00602CA8" w:rsidP="005C56EA"/>
        </w:tc>
        <w:tc>
          <w:tcPr>
            <w:tcW w:w="1350" w:type="dxa"/>
          </w:tcPr>
          <w:p w:rsidR="00602CA8" w:rsidRDefault="00602CA8" w:rsidP="005C56EA"/>
        </w:tc>
        <w:tc>
          <w:tcPr>
            <w:tcW w:w="1458" w:type="dxa"/>
          </w:tcPr>
          <w:p w:rsidR="00602CA8" w:rsidRDefault="00602CA8" w:rsidP="005C56EA"/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768" w:type="dxa"/>
          </w:tcPr>
          <w:p w:rsidR="00602CA8" w:rsidRPr="000E3592" w:rsidRDefault="000E3592" w:rsidP="00975EF1">
            <w:pPr>
              <w:jc w:val="center"/>
              <w:rPr>
                <w:b/>
              </w:rPr>
            </w:pPr>
            <w:r w:rsidRPr="000E3592">
              <w:rPr>
                <w:b/>
              </w:rPr>
              <w:t>NON TAXABLE ITEM</w:t>
            </w:r>
            <w:r w:rsidR="00975EF1">
              <w:rPr>
                <w:b/>
              </w:rPr>
              <w:t xml:space="preserve"> DESCRIPTION</w:t>
            </w:r>
          </w:p>
        </w:tc>
        <w:tc>
          <w:tcPr>
            <w:tcW w:w="1350" w:type="dxa"/>
          </w:tcPr>
          <w:p w:rsidR="00602CA8" w:rsidRDefault="00602CA8" w:rsidP="005C56EA"/>
        </w:tc>
        <w:tc>
          <w:tcPr>
            <w:tcW w:w="1458" w:type="dxa"/>
          </w:tcPr>
          <w:p w:rsidR="00602CA8" w:rsidRDefault="00602CA8" w:rsidP="005C56EA"/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768" w:type="dxa"/>
          </w:tcPr>
          <w:p w:rsidR="00602CA8" w:rsidRDefault="000E3592" w:rsidP="005C56EA">
            <w:r>
              <w:t>Cap Cost Reduction</w:t>
            </w:r>
          </w:p>
        </w:tc>
        <w:tc>
          <w:tcPr>
            <w:tcW w:w="1350" w:type="dxa"/>
          </w:tcPr>
          <w:p w:rsidR="00602CA8" w:rsidRDefault="008C35B2" w:rsidP="005C56EA">
            <w:r>
              <w:t>NO</w:t>
            </w:r>
          </w:p>
        </w:tc>
        <w:tc>
          <w:tcPr>
            <w:tcW w:w="1458" w:type="dxa"/>
          </w:tcPr>
          <w:p w:rsidR="00602CA8" w:rsidRDefault="008C35B2" w:rsidP="005C56EA">
            <w:r>
              <w:t>NO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768" w:type="dxa"/>
          </w:tcPr>
          <w:p w:rsidR="00602CA8" w:rsidRDefault="000E3592" w:rsidP="000E3592">
            <w:r>
              <w:t>Credit Life Insurance – (If separately stated and the lessee has the option to either accept the lessor’s insurance or procure other coverage)</w:t>
            </w:r>
          </w:p>
        </w:tc>
        <w:tc>
          <w:tcPr>
            <w:tcW w:w="1350" w:type="dxa"/>
          </w:tcPr>
          <w:p w:rsidR="00602CA8" w:rsidRDefault="008C35B2" w:rsidP="005C56EA">
            <w:r>
              <w:t>NO</w:t>
            </w:r>
          </w:p>
        </w:tc>
        <w:tc>
          <w:tcPr>
            <w:tcW w:w="1458" w:type="dxa"/>
          </w:tcPr>
          <w:p w:rsidR="00602CA8" w:rsidRDefault="008C35B2" w:rsidP="005C56EA">
            <w:r>
              <w:t>NO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768" w:type="dxa"/>
          </w:tcPr>
          <w:p w:rsidR="00602CA8" w:rsidRDefault="000E3592" w:rsidP="005C56EA">
            <w:r>
              <w:t>Dealer Discount</w:t>
            </w:r>
          </w:p>
        </w:tc>
        <w:tc>
          <w:tcPr>
            <w:tcW w:w="1350" w:type="dxa"/>
          </w:tcPr>
          <w:p w:rsidR="00602CA8" w:rsidRDefault="008C35B2" w:rsidP="005C56EA">
            <w:r>
              <w:t>NO</w:t>
            </w:r>
          </w:p>
        </w:tc>
        <w:tc>
          <w:tcPr>
            <w:tcW w:w="1458" w:type="dxa"/>
          </w:tcPr>
          <w:p w:rsidR="00602CA8" w:rsidRDefault="008C35B2" w:rsidP="005C56EA">
            <w:r>
              <w:t>NO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768" w:type="dxa"/>
          </w:tcPr>
          <w:p w:rsidR="00602CA8" w:rsidRDefault="000E3592" w:rsidP="000E3592">
            <w:r>
              <w:t>Disability Insurance - (If separately stated and the lessee has the option to either accept the lessor’s insurance or procure other coverage)</w:t>
            </w:r>
          </w:p>
        </w:tc>
        <w:tc>
          <w:tcPr>
            <w:tcW w:w="1350" w:type="dxa"/>
          </w:tcPr>
          <w:p w:rsidR="00602CA8" w:rsidRDefault="008C35B2" w:rsidP="005C56EA">
            <w:r>
              <w:t>NO</w:t>
            </w:r>
          </w:p>
        </w:tc>
        <w:tc>
          <w:tcPr>
            <w:tcW w:w="1458" w:type="dxa"/>
          </w:tcPr>
          <w:p w:rsidR="00602CA8" w:rsidRDefault="008C35B2" w:rsidP="005C56EA">
            <w:r>
              <w:t>NO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6768" w:type="dxa"/>
          </w:tcPr>
          <w:p w:rsidR="00602CA8" w:rsidRDefault="000E3592" w:rsidP="005C56EA">
            <w:r>
              <w:t>Rollovers – (rolling over a loan to a new vehicle)</w:t>
            </w:r>
          </w:p>
        </w:tc>
        <w:tc>
          <w:tcPr>
            <w:tcW w:w="1350" w:type="dxa"/>
          </w:tcPr>
          <w:p w:rsidR="00602CA8" w:rsidRDefault="008C35B2" w:rsidP="008C35B2">
            <w:r>
              <w:t>NO</w:t>
            </w:r>
          </w:p>
        </w:tc>
        <w:tc>
          <w:tcPr>
            <w:tcW w:w="1458" w:type="dxa"/>
          </w:tcPr>
          <w:p w:rsidR="00602CA8" w:rsidRDefault="008C35B2" w:rsidP="005C56EA">
            <w:r>
              <w:t>NO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768" w:type="dxa"/>
          </w:tcPr>
          <w:p w:rsidR="00602CA8" w:rsidRDefault="000E3592" w:rsidP="005C56EA">
            <w:r>
              <w:t>Taxable Payoffs</w:t>
            </w:r>
          </w:p>
        </w:tc>
        <w:tc>
          <w:tcPr>
            <w:tcW w:w="1350" w:type="dxa"/>
          </w:tcPr>
          <w:p w:rsidR="00602CA8" w:rsidRDefault="008C35B2" w:rsidP="005C56EA">
            <w:r>
              <w:t>NO</w:t>
            </w:r>
          </w:p>
        </w:tc>
        <w:tc>
          <w:tcPr>
            <w:tcW w:w="1458" w:type="dxa"/>
          </w:tcPr>
          <w:p w:rsidR="00602CA8" w:rsidRDefault="008C35B2" w:rsidP="005C56EA">
            <w:r>
              <w:t>NO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768" w:type="dxa"/>
          </w:tcPr>
          <w:p w:rsidR="00602CA8" w:rsidRDefault="008C35B2" w:rsidP="005C56EA">
            <w:r>
              <w:t>Registration and Title Fees</w:t>
            </w:r>
          </w:p>
        </w:tc>
        <w:tc>
          <w:tcPr>
            <w:tcW w:w="1350" w:type="dxa"/>
          </w:tcPr>
          <w:p w:rsidR="00602CA8" w:rsidRDefault="008C35B2" w:rsidP="005C56EA">
            <w:r>
              <w:t>NO</w:t>
            </w:r>
          </w:p>
        </w:tc>
        <w:tc>
          <w:tcPr>
            <w:tcW w:w="1458" w:type="dxa"/>
          </w:tcPr>
          <w:p w:rsidR="00602CA8" w:rsidRDefault="008C35B2" w:rsidP="005C56EA">
            <w:r>
              <w:t>NO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768" w:type="dxa"/>
          </w:tcPr>
          <w:p w:rsidR="00602CA8" w:rsidRDefault="008C35B2" w:rsidP="005C56EA">
            <w:r>
              <w:t xml:space="preserve">Trade-In </w:t>
            </w:r>
          </w:p>
        </w:tc>
        <w:tc>
          <w:tcPr>
            <w:tcW w:w="1350" w:type="dxa"/>
          </w:tcPr>
          <w:p w:rsidR="00602CA8" w:rsidRDefault="008C35B2" w:rsidP="005C56EA">
            <w:r>
              <w:t>NO</w:t>
            </w:r>
          </w:p>
        </w:tc>
        <w:tc>
          <w:tcPr>
            <w:tcW w:w="1458" w:type="dxa"/>
          </w:tcPr>
          <w:p w:rsidR="00602CA8" w:rsidRDefault="008C35B2" w:rsidP="005C56EA">
            <w:r>
              <w:t>NO</w:t>
            </w:r>
          </w:p>
        </w:tc>
      </w:tr>
      <w:tr w:rsidR="00602CA8" w:rsidTr="005C56EA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768" w:type="dxa"/>
          </w:tcPr>
          <w:p w:rsidR="00602CA8" w:rsidRDefault="00EA6589" w:rsidP="005C56EA">
            <w:r>
              <w:t>Cost of equipment installed in vehicle for exclusive use of physically disabled</w:t>
            </w:r>
          </w:p>
        </w:tc>
        <w:tc>
          <w:tcPr>
            <w:tcW w:w="1350" w:type="dxa"/>
          </w:tcPr>
          <w:p w:rsidR="00602CA8" w:rsidRDefault="00EA6589" w:rsidP="005C56EA">
            <w:r>
              <w:t>NO</w:t>
            </w:r>
          </w:p>
        </w:tc>
        <w:tc>
          <w:tcPr>
            <w:tcW w:w="1458" w:type="dxa"/>
          </w:tcPr>
          <w:p w:rsidR="00602CA8" w:rsidRDefault="00EA6589" w:rsidP="005C56EA">
            <w:r>
              <w:t>NO</w:t>
            </w:r>
          </w:p>
        </w:tc>
      </w:tr>
    </w:tbl>
    <w:p w:rsidR="001C253F" w:rsidRDefault="001C253F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b/>
          <w:i/>
          <w:iCs/>
          <w:color w:val="000000"/>
          <w:szCs w:val="20"/>
        </w:rPr>
      </w:pPr>
    </w:p>
    <w:p w:rsidR="00EA6589" w:rsidRDefault="00EA6589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b/>
          <w:i/>
          <w:iCs/>
          <w:color w:val="000000"/>
          <w:szCs w:val="20"/>
        </w:rPr>
      </w:pPr>
    </w:p>
    <w:p w:rsidR="00EA6589" w:rsidRPr="001C253F" w:rsidRDefault="00EA6589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b/>
          <w:i/>
          <w:iCs/>
          <w:color w:val="000000"/>
          <w:szCs w:val="20"/>
        </w:rPr>
      </w:pPr>
    </w:p>
    <w:p w:rsidR="001C253F" w:rsidRDefault="001C253F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1C253F" w:rsidRDefault="001C253F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1C253F" w:rsidRDefault="001C253F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6"/>
        <w:gridCol w:w="6402"/>
        <w:gridCol w:w="1440"/>
        <w:gridCol w:w="1458"/>
      </w:tblGrid>
      <w:tr w:rsidR="00EA6589" w:rsidTr="00EA6589">
        <w:trPr>
          <w:gridBefore w:val="1"/>
          <w:wBefore w:w="6" w:type="dxa"/>
        </w:trPr>
        <w:tc>
          <w:tcPr>
            <w:tcW w:w="6402" w:type="dxa"/>
          </w:tcPr>
          <w:p w:rsidR="00EA6589" w:rsidRPr="008E718B" w:rsidRDefault="00C146B3" w:rsidP="00C146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rial"/>
                <w:b/>
                <w:iCs/>
                <w:color w:val="000000"/>
                <w:szCs w:val="20"/>
              </w:rPr>
            </w:pPr>
            <w:r w:rsidRPr="008E718B">
              <w:rPr>
                <w:rFonts w:cs="Arial"/>
                <w:b/>
                <w:iCs/>
                <w:color w:val="000000"/>
                <w:szCs w:val="20"/>
              </w:rPr>
              <w:t>OTHER SALES TAX EXEMPTIONS</w:t>
            </w:r>
          </w:p>
        </w:tc>
        <w:tc>
          <w:tcPr>
            <w:tcW w:w="1440" w:type="dxa"/>
          </w:tcPr>
          <w:p w:rsidR="00EA6589" w:rsidRPr="008E718B" w:rsidRDefault="00EA6589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/>
                <w:iCs/>
                <w:color w:val="000000"/>
                <w:szCs w:val="20"/>
              </w:rPr>
            </w:pPr>
            <w:r w:rsidRPr="008E718B">
              <w:t>Taxable at 6.35%</w:t>
            </w:r>
          </w:p>
        </w:tc>
        <w:tc>
          <w:tcPr>
            <w:tcW w:w="1458" w:type="dxa"/>
          </w:tcPr>
          <w:p w:rsidR="00EA6589" w:rsidRPr="008E718B" w:rsidRDefault="00C146B3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/>
                <w:iCs/>
                <w:color w:val="000000"/>
                <w:szCs w:val="20"/>
              </w:rPr>
            </w:pPr>
            <w:r w:rsidRPr="008E718B">
              <w:t>Taxable at 7.75% - If the vehicle is $50,000.01 or more</w:t>
            </w:r>
          </w:p>
        </w:tc>
      </w:tr>
      <w:tr w:rsidR="00EA6589" w:rsidTr="00EA6589">
        <w:trPr>
          <w:gridBefore w:val="1"/>
          <w:wBefore w:w="6" w:type="dxa"/>
        </w:trPr>
        <w:tc>
          <w:tcPr>
            <w:tcW w:w="6402" w:type="dxa"/>
          </w:tcPr>
          <w:p w:rsidR="00EA6589" w:rsidRPr="008E718B" w:rsidRDefault="00C146B3" w:rsidP="00434AE6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Trucks, truck tractors (cabs), or semi</w:t>
            </w:r>
            <w:r w:rsidR="00434AE6" w:rsidRPr="008E718B">
              <w:rPr>
                <w:rFonts w:cs="Arial"/>
                <w:iCs/>
                <w:color w:val="000000"/>
                <w:szCs w:val="20"/>
              </w:rPr>
              <w:t>-</w:t>
            </w:r>
            <w:r w:rsidRPr="008E718B">
              <w:rPr>
                <w:rFonts w:cs="Arial"/>
                <w:iCs/>
                <w:color w:val="000000"/>
                <w:szCs w:val="20"/>
              </w:rPr>
              <w:t>trailers over 26,000 GVW</w:t>
            </w:r>
          </w:p>
        </w:tc>
        <w:tc>
          <w:tcPr>
            <w:tcW w:w="1440" w:type="dxa"/>
          </w:tcPr>
          <w:p w:rsidR="00EA6589" w:rsidRPr="008E718B" w:rsidRDefault="00E64F22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  <w:tc>
          <w:tcPr>
            <w:tcW w:w="1458" w:type="dxa"/>
          </w:tcPr>
          <w:p w:rsidR="00EA6589" w:rsidRPr="008E718B" w:rsidRDefault="00E64F22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rPr>
          <w:gridBefore w:val="1"/>
          <w:wBefore w:w="6" w:type="dxa"/>
        </w:trPr>
        <w:tc>
          <w:tcPr>
            <w:tcW w:w="6402" w:type="dxa"/>
          </w:tcPr>
          <w:p w:rsidR="00434AE6" w:rsidRPr="008E718B" w:rsidRDefault="00434AE6" w:rsidP="00C146B3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Farm Vehicle (Farmer Tax Exemption Permit)</w:t>
            </w:r>
          </w:p>
        </w:tc>
        <w:tc>
          <w:tcPr>
            <w:tcW w:w="1440" w:type="dxa"/>
          </w:tcPr>
          <w:p w:rsidR="00434AE6" w:rsidRPr="00F267DD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F267DD">
              <w:rPr>
                <w:rFonts w:cs="Arial"/>
                <w:iCs/>
                <w:color w:val="000000"/>
                <w:szCs w:val="20"/>
              </w:rPr>
              <w:t>Exempt: used directly in agriculture process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rPr>
          <w:gridBefore w:val="1"/>
          <w:wBefore w:w="6" w:type="dxa"/>
        </w:trPr>
        <w:tc>
          <w:tcPr>
            <w:tcW w:w="6402" w:type="dxa"/>
          </w:tcPr>
          <w:p w:rsidR="00434AE6" w:rsidRPr="008E718B" w:rsidRDefault="00434AE6" w:rsidP="00C146B3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 xml:space="preserve">Ambulances: </w:t>
            </w:r>
            <w:r w:rsidRPr="008E718B">
              <w:rPr>
                <w:rFonts w:cs="Arial"/>
                <w:b/>
                <w:iCs/>
                <w:color w:val="000000"/>
                <w:szCs w:val="20"/>
              </w:rPr>
              <w:t>Exempt</w:t>
            </w:r>
            <w:r w:rsidRPr="008E718B">
              <w:rPr>
                <w:rFonts w:cs="Arial"/>
                <w:iCs/>
                <w:color w:val="000000"/>
                <w:szCs w:val="20"/>
              </w:rPr>
              <w:t xml:space="preserve">: Used exclusively to transport medically incapacitated </w:t>
            </w:r>
            <w:r w:rsidR="008E718B" w:rsidRPr="008E718B">
              <w:rPr>
                <w:rFonts w:cs="Arial"/>
                <w:iCs/>
                <w:color w:val="000000"/>
                <w:szCs w:val="20"/>
              </w:rPr>
              <w:t>that</w:t>
            </w:r>
            <w:r w:rsidRPr="008E718B">
              <w:rPr>
                <w:rFonts w:cs="Arial"/>
                <w:iCs/>
                <w:color w:val="000000"/>
                <w:szCs w:val="20"/>
              </w:rPr>
              <w:t xml:space="preserve"> have no obligation to pay for transportation.  Purchaser has to provide proof attesting that these conditions are met.</w:t>
            </w:r>
          </w:p>
        </w:tc>
        <w:tc>
          <w:tcPr>
            <w:tcW w:w="1440" w:type="dxa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Exempt with proof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EA6589" w:rsidTr="00EA6589">
        <w:trPr>
          <w:gridBefore w:val="1"/>
          <w:wBefore w:w="6" w:type="dxa"/>
        </w:trPr>
        <w:tc>
          <w:tcPr>
            <w:tcW w:w="6402" w:type="dxa"/>
          </w:tcPr>
          <w:p w:rsidR="00EA6589" w:rsidRPr="008E718B" w:rsidRDefault="00C146B3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Gifted Vehicle (Require Gift Affidavit)</w:t>
            </w:r>
          </w:p>
        </w:tc>
        <w:tc>
          <w:tcPr>
            <w:tcW w:w="1440" w:type="dxa"/>
          </w:tcPr>
          <w:p w:rsidR="00EA6589" w:rsidRPr="008E718B" w:rsidRDefault="00C146B3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Exempt with gift affidavit</w:t>
            </w:r>
          </w:p>
        </w:tc>
        <w:tc>
          <w:tcPr>
            <w:tcW w:w="1458" w:type="dxa"/>
          </w:tcPr>
          <w:p w:rsidR="00EA6589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Exempt with gift affidavit</w:t>
            </w:r>
          </w:p>
        </w:tc>
      </w:tr>
      <w:tr w:rsidR="00434AE6" w:rsidTr="00EA6589">
        <w:trPr>
          <w:gridBefore w:val="1"/>
          <w:wBefore w:w="6" w:type="dxa"/>
        </w:trPr>
        <w:tc>
          <w:tcPr>
            <w:tcW w:w="6402" w:type="dxa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Sold to immediate family (meet certain criteria)</w:t>
            </w:r>
          </w:p>
        </w:tc>
        <w:tc>
          <w:tcPr>
            <w:tcW w:w="1440" w:type="dxa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rPr>
          <w:gridBefore w:val="1"/>
          <w:wBefore w:w="6" w:type="dxa"/>
        </w:trPr>
        <w:tc>
          <w:tcPr>
            <w:tcW w:w="6402" w:type="dxa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Vehicle transferred in Estate Settlements (If stipulated in will)</w:t>
            </w:r>
          </w:p>
        </w:tc>
        <w:tc>
          <w:tcPr>
            <w:tcW w:w="1440" w:type="dxa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rPr>
          <w:gridBefore w:val="1"/>
          <w:wBefore w:w="6" w:type="dxa"/>
        </w:trPr>
        <w:tc>
          <w:tcPr>
            <w:tcW w:w="6402" w:type="dxa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Vehicle won in a Raffle (If transfers from dealer to a tax exempt organization</w:t>
            </w:r>
          </w:p>
        </w:tc>
        <w:tc>
          <w:tcPr>
            <w:tcW w:w="1440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c>
          <w:tcPr>
            <w:tcW w:w="6408" w:type="dxa"/>
            <w:gridSpan w:val="2"/>
          </w:tcPr>
          <w:p w:rsidR="00434AE6" w:rsidRPr="008E718B" w:rsidRDefault="00434AE6" w:rsidP="00434AE6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Sold to tax exempt organization (tax exempt number issued)</w:t>
            </w:r>
          </w:p>
        </w:tc>
        <w:tc>
          <w:tcPr>
            <w:tcW w:w="1440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c>
          <w:tcPr>
            <w:tcW w:w="6408" w:type="dxa"/>
            <w:gridSpan w:val="2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Sold to municipality</w:t>
            </w:r>
          </w:p>
        </w:tc>
        <w:tc>
          <w:tcPr>
            <w:tcW w:w="1440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c>
          <w:tcPr>
            <w:tcW w:w="6408" w:type="dxa"/>
            <w:gridSpan w:val="2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Driver Training Vehicle Exempt: If registered in name of High school or Board of Education)</w:t>
            </w:r>
          </w:p>
        </w:tc>
        <w:tc>
          <w:tcPr>
            <w:tcW w:w="1440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c>
          <w:tcPr>
            <w:tcW w:w="6408" w:type="dxa"/>
            <w:gridSpan w:val="2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Trade in vehicles</w:t>
            </w:r>
          </w:p>
        </w:tc>
        <w:tc>
          <w:tcPr>
            <w:tcW w:w="1440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c>
          <w:tcPr>
            <w:tcW w:w="6408" w:type="dxa"/>
            <w:gridSpan w:val="2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Vehicles involved in interstate commerce</w:t>
            </w:r>
          </w:p>
        </w:tc>
        <w:tc>
          <w:tcPr>
            <w:tcW w:w="1440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c>
          <w:tcPr>
            <w:tcW w:w="6408" w:type="dxa"/>
            <w:gridSpan w:val="2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Dissolution, partial liquidation of reorganization of business (See Reg – Lots of Stipulations)</w:t>
            </w:r>
          </w:p>
        </w:tc>
        <w:tc>
          <w:tcPr>
            <w:tcW w:w="1440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434AE6" w:rsidTr="00EA6589">
        <w:tc>
          <w:tcPr>
            <w:tcW w:w="6408" w:type="dxa"/>
            <w:gridSpan w:val="2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Members of the United States Armed Forces on full time active duty in CT who are residents of another state</w:t>
            </w:r>
          </w:p>
        </w:tc>
        <w:tc>
          <w:tcPr>
            <w:tcW w:w="1440" w:type="dxa"/>
          </w:tcPr>
          <w:p w:rsidR="00434AE6" w:rsidRPr="008E718B" w:rsidRDefault="00434AE6" w:rsidP="001C253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color w:val="000000"/>
                <w:szCs w:val="20"/>
              </w:rPr>
            </w:pPr>
            <w:r w:rsidRPr="008E718B">
              <w:rPr>
                <w:rFonts w:cs="Arial"/>
                <w:iCs/>
                <w:color w:val="000000"/>
                <w:szCs w:val="20"/>
              </w:rPr>
              <w:t>4.5%</w:t>
            </w:r>
          </w:p>
        </w:tc>
        <w:tc>
          <w:tcPr>
            <w:tcW w:w="1458" w:type="dxa"/>
          </w:tcPr>
          <w:p w:rsidR="00434AE6" w:rsidRPr="008E718B" w:rsidRDefault="00434AE6">
            <w:r w:rsidRPr="008E718B">
              <w:rPr>
                <w:rFonts w:cs="Arial"/>
                <w:iCs/>
                <w:color w:val="000000"/>
                <w:szCs w:val="20"/>
              </w:rPr>
              <w:t>Exempt</w:t>
            </w:r>
          </w:p>
        </w:tc>
      </w:tr>
      <w:tr w:rsidR="00EA6589" w:rsidTr="00EA6589">
        <w:tc>
          <w:tcPr>
            <w:tcW w:w="6408" w:type="dxa"/>
            <w:gridSpan w:val="2"/>
          </w:tcPr>
          <w:p w:rsidR="00EA6589" w:rsidRPr="00C146B3" w:rsidRDefault="00EA6589" w:rsidP="001C253F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  <w:tc>
          <w:tcPr>
            <w:tcW w:w="1440" w:type="dxa"/>
          </w:tcPr>
          <w:p w:rsidR="00EA6589" w:rsidRPr="00C146B3" w:rsidRDefault="00EA6589" w:rsidP="001C253F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  <w:tc>
          <w:tcPr>
            <w:tcW w:w="1458" w:type="dxa"/>
          </w:tcPr>
          <w:p w:rsidR="00EA6589" w:rsidRPr="00C146B3" w:rsidRDefault="00EA6589" w:rsidP="001C253F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</w:tr>
      <w:tr w:rsidR="00B56333" w:rsidTr="00EA6589">
        <w:tc>
          <w:tcPr>
            <w:tcW w:w="6408" w:type="dxa"/>
            <w:gridSpan w:val="2"/>
          </w:tcPr>
          <w:p w:rsidR="00B56333" w:rsidRPr="00C146B3" w:rsidRDefault="00B56333" w:rsidP="001C253F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  <w:tc>
          <w:tcPr>
            <w:tcW w:w="1440" w:type="dxa"/>
          </w:tcPr>
          <w:p w:rsidR="00B56333" w:rsidRPr="00C146B3" w:rsidRDefault="00B56333" w:rsidP="001C253F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  <w:tc>
          <w:tcPr>
            <w:tcW w:w="1458" w:type="dxa"/>
          </w:tcPr>
          <w:p w:rsidR="00B56333" w:rsidRPr="00C146B3" w:rsidRDefault="00B56333" w:rsidP="001C253F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Cs/>
                <w:color w:val="000000"/>
                <w:szCs w:val="20"/>
              </w:rPr>
            </w:pPr>
          </w:p>
        </w:tc>
      </w:tr>
    </w:tbl>
    <w:p w:rsidR="001C253F" w:rsidRDefault="001C253F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B56333" w:rsidRDefault="00B56333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sdt>
      <w:sdtPr>
        <w:rPr>
          <w:rFonts w:ascii="Arial" w:hAnsi="Arial" w:cs="Arial"/>
          <w:iCs/>
          <w:color w:val="000000"/>
          <w:szCs w:val="20"/>
        </w:rPr>
        <w:alias w:val="Publish Date"/>
        <w:tag w:val=""/>
        <w:id w:val="-3275894"/>
        <w:placeholder>
          <w:docPart w:val="340144DDA4074D38871ECC8E604E61B5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7-02-07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B56333" w:rsidRDefault="00B56333" w:rsidP="001C253F">
          <w:pPr>
            <w:autoSpaceDE w:val="0"/>
            <w:autoSpaceDN w:val="0"/>
            <w:adjustRightInd w:val="0"/>
            <w:spacing w:after="0" w:line="240" w:lineRule="atLeast"/>
            <w:ind w:left="270"/>
            <w:rPr>
              <w:rFonts w:ascii="Arial" w:hAnsi="Arial" w:cs="Arial"/>
              <w:i/>
              <w:iCs/>
              <w:color w:val="000000"/>
              <w:szCs w:val="20"/>
            </w:rPr>
          </w:pPr>
          <w:r>
            <w:rPr>
              <w:rFonts w:ascii="Arial" w:hAnsi="Arial" w:cs="Arial"/>
              <w:iCs/>
              <w:color w:val="000000"/>
              <w:szCs w:val="20"/>
            </w:rPr>
            <w:t>2/7/2017</w:t>
          </w:r>
        </w:p>
      </w:sdtContent>
    </w:sdt>
    <w:p w:rsidR="00EA6589" w:rsidRDefault="00EA6589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p w:rsidR="001C253F" w:rsidRDefault="001C253F" w:rsidP="001C253F">
      <w:pPr>
        <w:autoSpaceDE w:val="0"/>
        <w:autoSpaceDN w:val="0"/>
        <w:adjustRightInd w:val="0"/>
        <w:spacing w:after="0" w:line="240" w:lineRule="atLeast"/>
        <w:ind w:left="270"/>
        <w:rPr>
          <w:rFonts w:ascii="Arial" w:hAnsi="Arial" w:cs="Arial"/>
          <w:i/>
          <w:iCs/>
          <w:color w:val="000000"/>
          <w:szCs w:val="20"/>
        </w:rPr>
      </w:pPr>
    </w:p>
    <w:sectPr w:rsidR="001C253F" w:rsidSect="000E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DD" w:rsidRDefault="00B336DD" w:rsidP="00F267DD">
      <w:pPr>
        <w:spacing w:after="0" w:line="240" w:lineRule="auto"/>
      </w:pPr>
      <w:r>
        <w:separator/>
      </w:r>
    </w:p>
  </w:endnote>
  <w:endnote w:type="continuationSeparator" w:id="0">
    <w:p w:rsidR="00B336DD" w:rsidRDefault="00B336DD" w:rsidP="00F2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DD" w:rsidRDefault="00F267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DD" w:rsidRDefault="00F267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DD" w:rsidRDefault="00F26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DD" w:rsidRDefault="00B336DD" w:rsidP="00F267DD">
      <w:pPr>
        <w:spacing w:after="0" w:line="240" w:lineRule="auto"/>
      </w:pPr>
      <w:r>
        <w:separator/>
      </w:r>
    </w:p>
  </w:footnote>
  <w:footnote w:type="continuationSeparator" w:id="0">
    <w:p w:rsidR="00B336DD" w:rsidRDefault="00B336DD" w:rsidP="00F2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DD" w:rsidRDefault="00F267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DD" w:rsidRDefault="00F267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DD" w:rsidRDefault="00F26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5B0B"/>
    <w:multiLevelType w:val="hybridMultilevel"/>
    <w:tmpl w:val="5038040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7A"/>
    <w:rsid w:val="00037B6B"/>
    <w:rsid w:val="000632CF"/>
    <w:rsid w:val="000E3592"/>
    <w:rsid w:val="00185672"/>
    <w:rsid w:val="001A4BB1"/>
    <w:rsid w:val="001C253F"/>
    <w:rsid w:val="00267F40"/>
    <w:rsid w:val="00324A22"/>
    <w:rsid w:val="003F1679"/>
    <w:rsid w:val="00421216"/>
    <w:rsid w:val="004333A8"/>
    <w:rsid w:val="00434AE6"/>
    <w:rsid w:val="004F0331"/>
    <w:rsid w:val="005207EC"/>
    <w:rsid w:val="005E27FF"/>
    <w:rsid w:val="00602CA8"/>
    <w:rsid w:val="00733DD3"/>
    <w:rsid w:val="007F54A3"/>
    <w:rsid w:val="008C3311"/>
    <w:rsid w:val="008C35B2"/>
    <w:rsid w:val="008E4C7A"/>
    <w:rsid w:val="008E718B"/>
    <w:rsid w:val="00975EF1"/>
    <w:rsid w:val="00AF251E"/>
    <w:rsid w:val="00B336DD"/>
    <w:rsid w:val="00B56333"/>
    <w:rsid w:val="00BD3FC7"/>
    <w:rsid w:val="00C146B3"/>
    <w:rsid w:val="00C67077"/>
    <w:rsid w:val="00D70091"/>
    <w:rsid w:val="00D8253D"/>
    <w:rsid w:val="00E64F22"/>
    <w:rsid w:val="00EA6589"/>
    <w:rsid w:val="00EC14DA"/>
    <w:rsid w:val="00EC70D8"/>
    <w:rsid w:val="00EE7768"/>
    <w:rsid w:val="00F2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7DD"/>
  </w:style>
  <w:style w:type="paragraph" w:styleId="Footer">
    <w:name w:val="footer"/>
    <w:basedOn w:val="Normal"/>
    <w:link w:val="FooterChar"/>
    <w:uiPriority w:val="99"/>
    <w:unhideWhenUsed/>
    <w:rsid w:val="00F2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7DD"/>
  </w:style>
  <w:style w:type="character" w:styleId="PlaceholderText">
    <w:name w:val="Placeholder Text"/>
    <w:basedOn w:val="DefaultParagraphFont"/>
    <w:uiPriority w:val="99"/>
    <w:semiHidden/>
    <w:rsid w:val="00B563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7DD"/>
  </w:style>
  <w:style w:type="paragraph" w:styleId="Footer">
    <w:name w:val="footer"/>
    <w:basedOn w:val="Normal"/>
    <w:link w:val="FooterChar"/>
    <w:uiPriority w:val="99"/>
    <w:unhideWhenUsed/>
    <w:rsid w:val="00F2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7DD"/>
  </w:style>
  <w:style w:type="character" w:styleId="PlaceholderText">
    <w:name w:val="Placeholder Text"/>
    <w:basedOn w:val="DefaultParagraphFont"/>
    <w:uiPriority w:val="99"/>
    <w:semiHidden/>
    <w:rsid w:val="00B563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0144DDA4074D38871ECC8E604E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9DE10-A616-4914-A129-3A091F8F9BDC}"/>
      </w:docPartPr>
      <w:docPartBody>
        <w:p w:rsidR="00A04F50" w:rsidRDefault="004D3419">
          <w:r w:rsidRPr="00811855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9"/>
    <w:rsid w:val="004D3419"/>
    <w:rsid w:val="004E3AAB"/>
    <w:rsid w:val="00A04F50"/>
    <w:rsid w:val="00E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41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4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Santangelo, Mary</dc:creator>
  <cp:lastModifiedBy>Santangelo, Mary</cp:lastModifiedBy>
  <cp:revision>2</cp:revision>
  <cp:lastPrinted>2017-02-03T12:12:00Z</cp:lastPrinted>
  <dcterms:created xsi:type="dcterms:W3CDTF">2017-02-10T13:22:00Z</dcterms:created>
  <dcterms:modified xsi:type="dcterms:W3CDTF">2017-02-10T13:22:00Z</dcterms:modified>
</cp:coreProperties>
</file>