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24B" w:rsidRPr="00C6224B" w:rsidRDefault="00C6224B" w:rsidP="00C6224B">
      <w:pPr>
        <w:pStyle w:val="Heading2"/>
        <w:tabs>
          <w:tab w:val="left" w:pos="6480"/>
        </w:tabs>
        <w:jc w:val="both"/>
        <w:rPr>
          <w:rFonts w:ascii="Times New Roman" w:hAnsi="Times New Roman" w:cs="Times New Roman"/>
          <w:b w:val="0"/>
          <w:color w:val="auto"/>
          <w:sz w:val="24"/>
          <w:szCs w:val="24"/>
        </w:rPr>
      </w:pPr>
      <w:r w:rsidRPr="00CA5082">
        <w:rPr>
          <w:rFonts w:ascii="Times New Roman" w:hAnsi="Times New Roman" w:cs="Times New Roman"/>
          <w:color w:val="auto"/>
          <w:sz w:val="24"/>
          <w:szCs w:val="24"/>
        </w:rPr>
        <w:t>Health Standard No.: 16-2</w:t>
      </w:r>
      <w:r w:rsidRPr="00CA5082">
        <w:rPr>
          <w:rFonts w:ascii="Times New Roman" w:hAnsi="Times New Roman" w:cs="Times New Roman"/>
          <w:b w:val="0"/>
          <w:color w:val="auto"/>
          <w:sz w:val="24"/>
          <w:szCs w:val="24"/>
        </w:rPr>
        <w:tab/>
      </w:r>
      <w:r w:rsidRPr="00CA5082">
        <w:rPr>
          <w:rFonts w:ascii="Times New Roman" w:hAnsi="Times New Roman" w:cs="Times New Roman"/>
          <w:color w:val="auto"/>
          <w:sz w:val="24"/>
          <w:szCs w:val="24"/>
        </w:rPr>
        <w:t>Issue Date</w:t>
      </w:r>
      <w:r w:rsidRPr="00CA5082">
        <w:rPr>
          <w:rFonts w:ascii="Times New Roman" w:hAnsi="Times New Roman" w:cs="Times New Roman"/>
          <w:b w:val="0"/>
          <w:color w:val="auto"/>
          <w:sz w:val="24"/>
          <w:szCs w:val="24"/>
        </w:rPr>
        <w:t xml:space="preserve">: </w:t>
      </w:r>
      <w:r w:rsidRPr="00C6224B">
        <w:rPr>
          <w:rFonts w:ascii="Times New Roman" w:hAnsi="Times New Roman" w:cs="Times New Roman"/>
          <w:b w:val="0"/>
          <w:color w:val="auto"/>
          <w:sz w:val="24"/>
          <w:szCs w:val="24"/>
        </w:rPr>
        <w:t>March 2007</w:t>
      </w:r>
    </w:p>
    <w:p w:rsidR="00C6224B" w:rsidRPr="00C6224B" w:rsidRDefault="00C6224B" w:rsidP="00C6224B">
      <w:pPr>
        <w:pStyle w:val="H2"/>
        <w:tabs>
          <w:tab w:val="left" w:pos="6480"/>
        </w:tabs>
        <w:spacing w:before="0" w:after="0"/>
        <w:rPr>
          <w:b w:val="0"/>
          <w:sz w:val="24"/>
          <w:szCs w:val="24"/>
        </w:rPr>
      </w:pPr>
      <w:r w:rsidRPr="00C6224B">
        <w:rPr>
          <w:sz w:val="24"/>
          <w:szCs w:val="24"/>
        </w:rPr>
        <w:t>Subject:</w:t>
      </w:r>
      <w:r w:rsidRPr="00C6224B">
        <w:rPr>
          <w:b w:val="0"/>
          <w:sz w:val="24"/>
          <w:szCs w:val="24"/>
        </w:rPr>
        <w:t xml:space="preserve"> Safe Eating and Drinking Guidelines for Individuals</w:t>
      </w:r>
      <w:r w:rsidRPr="00C6224B">
        <w:rPr>
          <w:b w:val="0"/>
          <w:sz w:val="24"/>
          <w:szCs w:val="24"/>
        </w:rPr>
        <w:tab/>
      </w:r>
      <w:r w:rsidRPr="00C6224B">
        <w:rPr>
          <w:sz w:val="24"/>
          <w:szCs w:val="24"/>
        </w:rPr>
        <w:t>Effective Date:</w:t>
      </w:r>
      <w:r w:rsidRPr="00C6224B">
        <w:rPr>
          <w:b w:val="0"/>
          <w:sz w:val="24"/>
          <w:szCs w:val="24"/>
        </w:rPr>
        <w:t xml:space="preserve">  April 1, 2012</w:t>
      </w:r>
    </w:p>
    <w:p w:rsidR="00C6224B" w:rsidRPr="00CA5082" w:rsidRDefault="00C6224B" w:rsidP="00C6224B">
      <w:pPr>
        <w:tabs>
          <w:tab w:val="left" w:pos="6480"/>
        </w:tabs>
        <w:ind w:right="-144"/>
        <w:rPr>
          <w:rFonts w:ascii="Times New Roman" w:hAnsi="Times New Roman"/>
          <w:szCs w:val="24"/>
        </w:rPr>
      </w:pPr>
      <w:r w:rsidRPr="00C6224B">
        <w:rPr>
          <w:rFonts w:ascii="Times New Roman" w:hAnsi="Times New Roman"/>
          <w:szCs w:val="24"/>
        </w:rPr>
        <w:t>with Swallowing Difficulties (Dysphagia)</w:t>
      </w:r>
      <w:r>
        <w:rPr>
          <w:rFonts w:ascii="Times New Roman" w:hAnsi="Times New Roman"/>
          <w:i/>
          <w:szCs w:val="24"/>
        </w:rPr>
        <w:tab/>
      </w:r>
      <w:r w:rsidRPr="00CA5082">
        <w:rPr>
          <w:rFonts w:ascii="Times New Roman" w:hAnsi="Times New Roman"/>
          <w:b/>
          <w:szCs w:val="24"/>
        </w:rPr>
        <w:t>Revised:</w:t>
      </w:r>
      <w:r w:rsidRPr="00CA5082">
        <w:rPr>
          <w:rFonts w:ascii="Times New Roman" w:hAnsi="Times New Roman"/>
          <w:szCs w:val="24"/>
        </w:rPr>
        <w:t xml:space="preserve"> </w:t>
      </w:r>
      <w:r w:rsidR="00A37B93">
        <w:rPr>
          <w:rFonts w:ascii="Times New Roman" w:hAnsi="Times New Roman"/>
          <w:szCs w:val="24"/>
        </w:rPr>
        <w:t>December</w:t>
      </w:r>
      <w:r>
        <w:rPr>
          <w:rFonts w:ascii="Times New Roman" w:hAnsi="Times New Roman"/>
          <w:szCs w:val="24"/>
        </w:rPr>
        <w:t xml:space="preserve"> 1</w:t>
      </w:r>
      <w:r w:rsidRPr="00CA5082">
        <w:rPr>
          <w:rFonts w:ascii="Times New Roman" w:hAnsi="Times New Roman"/>
          <w:szCs w:val="24"/>
        </w:rPr>
        <w:t>, 2016</w:t>
      </w:r>
    </w:p>
    <w:p w:rsidR="00C6224B" w:rsidRPr="00CA5082" w:rsidRDefault="00C6224B" w:rsidP="00C6224B">
      <w:pPr>
        <w:rPr>
          <w:rFonts w:ascii="Times New Roman" w:hAnsi="Times New Roman"/>
          <w:szCs w:val="24"/>
        </w:rPr>
      </w:pPr>
      <w:r>
        <w:rPr>
          <w:rFonts w:ascii="Times New Roman" w:hAnsi="Times New Roman"/>
          <w:szCs w:val="24"/>
        </w:rPr>
        <w:t>(</w:t>
      </w:r>
      <w:r w:rsidRPr="00CA5082">
        <w:rPr>
          <w:rFonts w:ascii="Times New Roman" w:hAnsi="Times New Roman"/>
          <w:szCs w:val="24"/>
        </w:rPr>
        <w:t>Replaces Medical Advisory #</w:t>
      </w:r>
      <w:r w:rsidR="00665DAA">
        <w:rPr>
          <w:rFonts w:ascii="Times New Roman" w:hAnsi="Times New Roman"/>
          <w:szCs w:val="24"/>
        </w:rPr>
        <w:t>0</w:t>
      </w:r>
      <w:r w:rsidRPr="00CA5082">
        <w:rPr>
          <w:rFonts w:ascii="Times New Roman" w:hAnsi="Times New Roman"/>
          <w:szCs w:val="24"/>
        </w:rPr>
        <w:t>7-1</w:t>
      </w:r>
      <w:r>
        <w:rPr>
          <w:rFonts w:ascii="Times New Roman" w:hAnsi="Times New Roman"/>
          <w:szCs w:val="24"/>
        </w:rPr>
        <w:t>)</w:t>
      </w:r>
      <w:r w:rsidR="00A37B93">
        <w:rPr>
          <w:rFonts w:ascii="Times New Roman" w:hAnsi="Times New Roman"/>
          <w:szCs w:val="24"/>
        </w:rPr>
        <w:tab/>
      </w:r>
      <w:r w:rsidR="00A37B93">
        <w:rPr>
          <w:rFonts w:ascii="Times New Roman" w:hAnsi="Times New Roman"/>
          <w:szCs w:val="24"/>
        </w:rPr>
        <w:tab/>
      </w:r>
      <w:r w:rsidR="00A37B93">
        <w:rPr>
          <w:rFonts w:ascii="Times New Roman" w:hAnsi="Times New Roman"/>
          <w:szCs w:val="24"/>
        </w:rPr>
        <w:tab/>
      </w:r>
      <w:r w:rsidR="00A37B93">
        <w:rPr>
          <w:rFonts w:ascii="Times New Roman" w:hAnsi="Times New Roman"/>
          <w:szCs w:val="24"/>
        </w:rPr>
        <w:tab/>
      </w:r>
      <w:r w:rsidR="00A37B93">
        <w:rPr>
          <w:rFonts w:ascii="Times New Roman" w:hAnsi="Times New Roman"/>
          <w:szCs w:val="24"/>
        </w:rPr>
        <w:tab/>
      </w:r>
      <w:r w:rsidR="00A37B93" w:rsidRPr="00CA5082">
        <w:rPr>
          <w:rFonts w:ascii="Times New Roman" w:hAnsi="Times New Roman"/>
          <w:b/>
          <w:bCs/>
          <w:szCs w:val="24"/>
        </w:rPr>
        <w:t>Approved:</w:t>
      </w:r>
      <w:r w:rsidR="00A37B93" w:rsidRPr="00CA5082">
        <w:rPr>
          <w:rFonts w:ascii="Times New Roman" w:hAnsi="Times New Roman"/>
          <w:bCs/>
          <w:szCs w:val="24"/>
        </w:rPr>
        <w:t>/s/</w:t>
      </w:r>
      <w:r w:rsidR="00A37B93">
        <w:rPr>
          <w:rFonts w:ascii="Times New Roman" w:hAnsi="Times New Roman"/>
          <w:bCs/>
          <w:szCs w:val="24"/>
        </w:rPr>
        <w:t>Jordan A. Scheff</w:t>
      </w:r>
    </w:p>
    <w:p w:rsidR="00C6224B" w:rsidRPr="00CA5082" w:rsidRDefault="00C6224B" w:rsidP="00A37B93">
      <w:pPr>
        <w:tabs>
          <w:tab w:val="left" w:pos="6120"/>
          <w:tab w:val="left" w:pos="7560"/>
        </w:tabs>
        <w:ind w:right="-144"/>
        <w:rPr>
          <w:rFonts w:ascii="Times New Roman" w:hAnsi="Times New Roman"/>
          <w:b/>
          <w:szCs w:val="24"/>
        </w:rPr>
      </w:pPr>
      <w:r w:rsidRPr="00CA5082">
        <w:rPr>
          <w:rFonts w:ascii="Times New Roman" w:hAnsi="Times New Roman"/>
          <w:b/>
          <w:bCs/>
          <w:szCs w:val="24"/>
        </w:rPr>
        <w:t xml:space="preserve">Section: </w:t>
      </w:r>
      <w:r w:rsidRPr="00CA5082">
        <w:rPr>
          <w:rFonts w:ascii="Times New Roman" w:hAnsi="Times New Roman"/>
          <w:szCs w:val="24"/>
        </w:rPr>
        <w:t xml:space="preserve">Health Standards </w:t>
      </w:r>
      <w:r w:rsidRPr="00CA5082">
        <w:rPr>
          <w:rFonts w:ascii="Times New Roman" w:hAnsi="Times New Roman"/>
          <w:b/>
          <w:szCs w:val="24"/>
        </w:rPr>
        <w:tab/>
      </w:r>
      <w:r w:rsidRPr="00CA5082">
        <w:rPr>
          <w:rFonts w:ascii="Times New Roman" w:hAnsi="Times New Roman"/>
          <w:b/>
          <w:bCs/>
          <w:szCs w:val="24"/>
        </w:rPr>
        <w:tab/>
      </w:r>
      <w:r w:rsidR="003B7B55">
        <w:rPr>
          <w:rFonts w:ascii="Times New Roman" w:hAnsi="Times New Roman"/>
          <w:b/>
          <w:bCs/>
          <w:szCs w:val="24"/>
        </w:rPr>
        <w:t xml:space="preserve">    </w:t>
      </w:r>
      <w:r w:rsidR="00A37B93" w:rsidRPr="00A37B93">
        <w:rPr>
          <w:rFonts w:ascii="Times New Roman" w:hAnsi="Times New Roman"/>
          <w:bCs/>
          <w:szCs w:val="24"/>
        </w:rPr>
        <w:t>Acting Commissioner</w:t>
      </w:r>
      <w:r w:rsidR="00A37B93">
        <w:rPr>
          <w:rFonts w:ascii="Times New Roman" w:hAnsi="Times New Roman"/>
          <w:bCs/>
          <w:szCs w:val="24"/>
        </w:rPr>
        <w:t>/SLT</w:t>
      </w:r>
    </w:p>
    <w:p w:rsidR="00F74173" w:rsidRPr="00CA5082" w:rsidRDefault="00F144C4" w:rsidP="005E36EB">
      <w:pPr>
        <w:spacing w:after="200"/>
        <w:jc w:val="center"/>
        <w:rPr>
          <w:rFonts w:ascii="Times New Roman" w:hAnsi="Times New Roman"/>
          <w:b/>
          <w:bCs/>
          <w:szCs w:val="24"/>
        </w:rPr>
      </w:pPr>
      <w:r>
        <w:rPr>
          <w:rFonts w:ascii="Times New Roman" w:hAnsi="Times New Roman"/>
          <w:b/>
          <w:bCs/>
          <w:szCs w:val="24"/>
        </w:rPr>
        <w:t>Introduction</w:t>
      </w:r>
    </w:p>
    <w:p w:rsidR="00F74173" w:rsidRPr="00CA5082" w:rsidRDefault="00F74173" w:rsidP="00F74173">
      <w:pPr>
        <w:rPr>
          <w:rFonts w:ascii="Times New Roman" w:hAnsi="Times New Roman"/>
          <w:szCs w:val="24"/>
        </w:rPr>
      </w:pPr>
      <w:r w:rsidRPr="00CA5082">
        <w:rPr>
          <w:rFonts w:ascii="Times New Roman" w:hAnsi="Times New Roman"/>
          <w:szCs w:val="24"/>
        </w:rPr>
        <w:t>The goal of the safe eating and drinking health standard is to assist an individual to eat with the highest degree of dignity and independence, and enjoy the least restrictive diet while maintaining health and safety.  Safe eating and drinking guidelines may include positioning techniques, food and liquid</w:t>
      </w:r>
      <w:r w:rsidRPr="00CA5082">
        <w:rPr>
          <w:rFonts w:ascii="Times New Roman" w:hAnsi="Times New Roman"/>
          <w:i/>
          <w:iCs/>
          <w:szCs w:val="24"/>
        </w:rPr>
        <w:t xml:space="preserve"> </w:t>
      </w:r>
      <w:r w:rsidRPr="00CA5082">
        <w:rPr>
          <w:rFonts w:ascii="Times New Roman" w:hAnsi="Times New Roman"/>
          <w:szCs w:val="24"/>
        </w:rPr>
        <w:t xml:space="preserve">consistency changes, and use of adaptive equipment which may be components of an individualized program.  Interventions may include </w:t>
      </w:r>
      <w:r w:rsidRPr="00CA5082">
        <w:rPr>
          <w:rFonts w:ascii="Times New Roman" w:eastAsia="Arial Unicode MS" w:hAnsi="Times New Roman"/>
          <w:szCs w:val="24"/>
        </w:rPr>
        <w:t xml:space="preserve">increased direct support staff observation or assistance, individualized programs to address behaviors and eating techniques which would reduce individual risk. </w:t>
      </w:r>
    </w:p>
    <w:p w:rsidR="00F74173" w:rsidRPr="005E36EB" w:rsidRDefault="00F74173" w:rsidP="00CA5082">
      <w:pPr>
        <w:rPr>
          <w:rFonts w:ascii="Times New Roman" w:hAnsi="Times New Roman"/>
          <w:sz w:val="16"/>
          <w:szCs w:val="16"/>
        </w:rPr>
      </w:pPr>
    </w:p>
    <w:p w:rsidR="00F74173" w:rsidRPr="00F74173" w:rsidRDefault="00F74173" w:rsidP="00F74173">
      <w:pPr>
        <w:pStyle w:val="ListParagraph"/>
        <w:numPr>
          <w:ilvl w:val="0"/>
          <w:numId w:val="17"/>
        </w:numPr>
        <w:ind w:left="360"/>
        <w:rPr>
          <w:b/>
        </w:rPr>
      </w:pPr>
      <w:r w:rsidRPr="00F74173">
        <w:rPr>
          <w:b/>
          <w:bCs/>
        </w:rPr>
        <w:t>Purpose</w:t>
      </w:r>
      <w:r w:rsidRPr="00F74173">
        <w:rPr>
          <w:b/>
        </w:rPr>
        <w:t xml:space="preserve"> </w:t>
      </w:r>
    </w:p>
    <w:p w:rsidR="00CA5082" w:rsidRPr="00E17335" w:rsidRDefault="00CA5082" w:rsidP="00F74173">
      <w:pPr>
        <w:pStyle w:val="ListParagraph"/>
        <w:ind w:left="360"/>
      </w:pPr>
      <w:r w:rsidRPr="00E17335">
        <w:t xml:space="preserve">The intent of this Health Standard is to provide </w:t>
      </w:r>
      <w:r w:rsidR="00E17335" w:rsidRPr="00E17335">
        <w:t xml:space="preserve">licensed </w:t>
      </w:r>
      <w:r w:rsidRPr="00E17335">
        <w:rPr>
          <w:shd w:val="clear" w:color="auto" w:fill="FFFFFF"/>
        </w:rPr>
        <w:t>clinicians</w:t>
      </w:r>
      <w:r w:rsidR="00E17335" w:rsidRPr="00E17335">
        <w:rPr>
          <w:shd w:val="clear" w:color="auto" w:fill="FFFFFF"/>
        </w:rPr>
        <w:t xml:space="preserve"> and supervisory or professional staff</w:t>
      </w:r>
      <w:r w:rsidRPr="00E17335">
        <w:rPr>
          <w:shd w:val="clear" w:color="auto" w:fill="FFFFFF"/>
        </w:rPr>
        <w:t xml:space="preserve"> </w:t>
      </w:r>
      <w:r w:rsidR="00E17335" w:rsidRPr="00E17335">
        <w:rPr>
          <w:shd w:val="clear" w:color="auto" w:fill="FFFFFF"/>
        </w:rPr>
        <w:t xml:space="preserve">who are </w:t>
      </w:r>
      <w:r w:rsidR="00E17335" w:rsidRPr="00E17335">
        <w:t>qualified trainers in safe eating and drinking and swallowing risks</w:t>
      </w:r>
      <w:r w:rsidR="00E17335" w:rsidRPr="00E17335">
        <w:rPr>
          <w:shd w:val="clear" w:color="auto" w:fill="FFFFFF"/>
        </w:rPr>
        <w:t xml:space="preserve">  and Speech Language Pathologists (SLT) and Occupational Therapists (OT)</w:t>
      </w:r>
      <w:r w:rsidR="00E378FF" w:rsidRPr="00E17335">
        <w:rPr>
          <w:shd w:val="clear" w:color="auto" w:fill="FFFFFF"/>
        </w:rPr>
        <w:t xml:space="preserve"> </w:t>
      </w:r>
      <w:r w:rsidRPr="00E17335">
        <w:rPr>
          <w:shd w:val="clear" w:color="auto" w:fill="FFFFFF"/>
        </w:rPr>
        <w:t>with</w:t>
      </w:r>
      <w:r w:rsidRPr="00E17335">
        <w:t xml:space="preserve"> best practice guidelines to support and guide direct support staff in the identification and management of eating, drinking and swallowing risks</w:t>
      </w:r>
      <w:r w:rsidRPr="00E17335">
        <w:rPr>
          <w:iCs/>
        </w:rPr>
        <w:t xml:space="preserve"> </w:t>
      </w:r>
      <w:r w:rsidR="0059478C" w:rsidRPr="00E17335">
        <w:rPr>
          <w:iCs/>
        </w:rPr>
        <w:t>so as to</w:t>
      </w:r>
      <w:r w:rsidRPr="00E17335">
        <w:t xml:space="preserve"> maintain the greatest degree of independence, dignity, respect and health for the individuals served by the department. </w:t>
      </w:r>
    </w:p>
    <w:p w:rsidR="00CA5082" w:rsidRPr="005E36EB" w:rsidRDefault="00CA5082" w:rsidP="00CA5082">
      <w:pPr>
        <w:pStyle w:val="Header"/>
        <w:tabs>
          <w:tab w:val="clear" w:pos="4320"/>
          <w:tab w:val="clear" w:pos="8640"/>
        </w:tabs>
        <w:rPr>
          <w:rFonts w:ascii="Times New Roman" w:hAnsi="Times New Roman"/>
          <w:sz w:val="16"/>
          <w:szCs w:val="16"/>
        </w:rPr>
      </w:pPr>
    </w:p>
    <w:p w:rsidR="00F74173" w:rsidRPr="00F74173" w:rsidRDefault="00F74173" w:rsidP="00F74173">
      <w:pPr>
        <w:pStyle w:val="ListParagraph"/>
        <w:numPr>
          <w:ilvl w:val="0"/>
          <w:numId w:val="17"/>
        </w:numPr>
        <w:ind w:left="360"/>
        <w:rPr>
          <w:b/>
        </w:rPr>
      </w:pPr>
      <w:r w:rsidRPr="00F74173">
        <w:rPr>
          <w:b/>
          <w:bCs/>
        </w:rPr>
        <w:t>Applicability</w:t>
      </w:r>
    </w:p>
    <w:p w:rsidR="00CA5082" w:rsidRPr="00F74173" w:rsidRDefault="00CA5082" w:rsidP="00F74173">
      <w:pPr>
        <w:pStyle w:val="ListParagraph"/>
        <w:ind w:left="360"/>
      </w:pPr>
      <w:r w:rsidRPr="00F74173">
        <w:t xml:space="preserve">This health standard applies to all individuals for whom the department bears direct or oversight responsibility for their health and safety. This standard is to be applied to the planning and coordination of care for individuals and provides guidance to direct support staff for </w:t>
      </w:r>
      <w:r w:rsidR="0059478C">
        <w:t>individuals</w:t>
      </w:r>
      <w:r w:rsidRPr="00F74173">
        <w:t xml:space="preserve"> </w:t>
      </w:r>
      <w:r w:rsidR="0059478C">
        <w:t>receiving residential funding or</w:t>
      </w:r>
      <w:r w:rsidRPr="00F74173">
        <w:t xml:space="preserve"> in residential placements and </w:t>
      </w:r>
      <w:r w:rsidR="0059478C">
        <w:t xml:space="preserve">individuals </w:t>
      </w:r>
      <w:r w:rsidRPr="00F74173">
        <w:t xml:space="preserve">receiving </w:t>
      </w:r>
      <w:r w:rsidR="0059478C">
        <w:t xml:space="preserve">employment opportunities and </w:t>
      </w:r>
      <w:r w:rsidRPr="00F74173">
        <w:t xml:space="preserve">day services. </w:t>
      </w:r>
    </w:p>
    <w:p w:rsidR="00CA5082" w:rsidRPr="005E36EB" w:rsidRDefault="00CA5082" w:rsidP="00CA5082">
      <w:pPr>
        <w:rPr>
          <w:rFonts w:ascii="Times New Roman" w:hAnsi="Times New Roman"/>
          <w:sz w:val="16"/>
          <w:szCs w:val="16"/>
        </w:rPr>
      </w:pPr>
    </w:p>
    <w:p w:rsidR="00CA5082" w:rsidRPr="00F74173" w:rsidRDefault="00F74173" w:rsidP="00F74173">
      <w:pPr>
        <w:pStyle w:val="ListParagraph"/>
        <w:numPr>
          <w:ilvl w:val="0"/>
          <w:numId w:val="17"/>
        </w:numPr>
        <w:ind w:left="360"/>
        <w:rPr>
          <w:b/>
          <w:bCs/>
        </w:rPr>
      </w:pPr>
      <w:r w:rsidRPr="00F74173">
        <w:rPr>
          <w:b/>
          <w:bCs/>
        </w:rPr>
        <w:t>Definitions</w:t>
      </w:r>
    </w:p>
    <w:p w:rsidR="00CA5082" w:rsidRPr="00CA5082" w:rsidRDefault="00B53E13" w:rsidP="00F74173">
      <w:pPr>
        <w:ind w:left="360"/>
        <w:rPr>
          <w:rFonts w:ascii="Times New Roman" w:hAnsi="Times New Roman"/>
          <w:szCs w:val="24"/>
        </w:rPr>
      </w:pPr>
      <w:r>
        <w:rPr>
          <w:rFonts w:ascii="Times New Roman" w:hAnsi="Times New Roman"/>
          <w:szCs w:val="24"/>
        </w:rPr>
        <w:t>“</w:t>
      </w:r>
      <w:r w:rsidR="00CA5082" w:rsidRPr="00B53E13">
        <w:rPr>
          <w:rFonts w:ascii="Times New Roman" w:hAnsi="Times New Roman"/>
          <w:szCs w:val="24"/>
        </w:rPr>
        <w:t>Adaptive Equipment</w:t>
      </w:r>
      <w:r w:rsidRPr="00B53E13">
        <w:rPr>
          <w:rFonts w:ascii="Times New Roman" w:hAnsi="Times New Roman"/>
          <w:szCs w:val="24"/>
        </w:rPr>
        <w:t>”</w:t>
      </w:r>
      <w:r w:rsidR="00CA5082" w:rsidRPr="00B53E13">
        <w:rPr>
          <w:rFonts w:ascii="Times New Roman" w:hAnsi="Times New Roman"/>
          <w:bCs/>
          <w:szCs w:val="24"/>
        </w:rPr>
        <w:t xml:space="preserve"> </w:t>
      </w:r>
      <w:r w:rsidRPr="00B53E13">
        <w:rPr>
          <w:rFonts w:ascii="Times New Roman" w:hAnsi="Times New Roman"/>
          <w:bCs/>
          <w:szCs w:val="24"/>
        </w:rPr>
        <w:t>means d</w:t>
      </w:r>
      <w:r w:rsidR="00CA5082" w:rsidRPr="00B53E13">
        <w:rPr>
          <w:rFonts w:ascii="Times New Roman" w:hAnsi="Times New Roman"/>
          <w:szCs w:val="24"/>
        </w:rPr>
        <w:t>evices</w:t>
      </w:r>
      <w:r w:rsidR="00CA5082" w:rsidRPr="00CA5082">
        <w:rPr>
          <w:rFonts w:ascii="Times New Roman" w:hAnsi="Times New Roman"/>
          <w:szCs w:val="24"/>
        </w:rPr>
        <w:t>, which are provided or modified to meet the individual's abilities to eat independently and safely (e.g. cups that adjust fluid flow, modified spoons, etc.)</w:t>
      </w:r>
    </w:p>
    <w:p w:rsidR="00CA5082" w:rsidRPr="000152A5" w:rsidRDefault="00CA5082" w:rsidP="00F74173">
      <w:pPr>
        <w:tabs>
          <w:tab w:val="left" w:pos="2550"/>
        </w:tabs>
        <w:ind w:left="360"/>
        <w:rPr>
          <w:rFonts w:ascii="Times New Roman" w:hAnsi="Times New Roman"/>
          <w:sz w:val="16"/>
          <w:szCs w:val="16"/>
        </w:rPr>
      </w:pPr>
      <w:r w:rsidRPr="000152A5">
        <w:rPr>
          <w:rFonts w:ascii="Times New Roman" w:hAnsi="Times New Roman"/>
          <w:sz w:val="16"/>
          <w:szCs w:val="16"/>
        </w:rPr>
        <w:tab/>
      </w:r>
    </w:p>
    <w:p w:rsidR="00CA5082" w:rsidRPr="00CA5082" w:rsidRDefault="00B53E13" w:rsidP="00F74173">
      <w:pPr>
        <w:pStyle w:val="Blockquote"/>
        <w:spacing w:before="0" w:after="0"/>
      </w:pPr>
      <w:r>
        <w:t>“</w:t>
      </w:r>
      <w:r w:rsidR="00CA5082" w:rsidRPr="00B53E13">
        <w:t>Aspiration</w:t>
      </w:r>
      <w:r w:rsidRPr="00B53E13">
        <w:t>”</w:t>
      </w:r>
      <w:r w:rsidR="00CA5082" w:rsidRPr="00B53E13">
        <w:rPr>
          <w:bCs/>
        </w:rPr>
        <w:t xml:space="preserve"> </w:t>
      </w:r>
      <w:r w:rsidRPr="00B53E13">
        <w:rPr>
          <w:bCs/>
        </w:rPr>
        <w:t>means e</w:t>
      </w:r>
      <w:r w:rsidR="00CA5082" w:rsidRPr="00B53E13">
        <w:t xml:space="preserve">ntry </w:t>
      </w:r>
      <w:r w:rsidR="00CA5082" w:rsidRPr="00CA5082">
        <w:t xml:space="preserve">of food, liquid, or other materials into the </w:t>
      </w:r>
      <w:r w:rsidR="00C3790F">
        <w:t xml:space="preserve">individual’s </w:t>
      </w:r>
      <w:r w:rsidR="00CA5082" w:rsidRPr="00CA5082">
        <w:t xml:space="preserve">airway that </w:t>
      </w:r>
      <w:r w:rsidR="00C3790F">
        <w:t xml:space="preserve">may </w:t>
      </w:r>
      <w:r w:rsidR="00CA5082" w:rsidRPr="00CA5082">
        <w:t xml:space="preserve">occur before, during or after </w:t>
      </w:r>
      <w:r w:rsidR="00C3790F">
        <w:t>a</w:t>
      </w:r>
      <w:r w:rsidR="00CA5082" w:rsidRPr="00CA5082">
        <w:t xml:space="preserve"> swallow </w:t>
      </w:r>
      <w:r w:rsidR="00C3790F">
        <w:t xml:space="preserve">and which may be </w:t>
      </w:r>
      <w:r w:rsidR="00CA5082" w:rsidRPr="00CA5082">
        <w:t xml:space="preserve">silent or </w:t>
      </w:r>
      <w:r w:rsidR="00C3790F">
        <w:t xml:space="preserve">may </w:t>
      </w:r>
      <w:r w:rsidR="00CA5082" w:rsidRPr="00CA5082">
        <w:t xml:space="preserve">occur with observed signs (Refer to:  </w:t>
      </w:r>
      <w:r w:rsidR="000152A5" w:rsidRPr="00CA5082">
        <w:t xml:space="preserve">Health Standard </w:t>
      </w:r>
      <w:r w:rsidR="000152A5" w:rsidRPr="00CA5082">
        <w:rPr>
          <w:bCs/>
        </w:rPr>
        <w:t>No.</w:t>
      </w:r>
      <w:r w:rsidR="000152A5" w:rsidRPr="00CA5082">
        <w:t xml:space="preserve"> 16-2</w:t>
      </w:r>
      <w:r w:rsidR="000152A5">
        <w:t xml:space="preserve"> </w:t>
      </w:r>
      <w:r w:rsidR="000152A5" w:rsidRPr="00CA5082">
        <w:t>Attachment C Sample protocol: Aspiration Precautions</w:t>
      </w:r>
      <w:r w:rsidR="00CA5082" w:rsidRPr="00CA5082">
        <w:t>)</w:t>
      </w:r>
    </w:p>
    <w:p w:rsidR="00CA5082" w:rsidRPr="000152A5" w:rsidRDefault="00CA5082" w:rsidP="00F74173">
      <w:pPr>
        <w:ind w:left="360"/>
        <w:rPr>
          <w:rFonts w:ascii="Times New Roman" w:hAnsi="Times New Roman"/>
          <w:sz w:val="16"/>
          <w:szCs w:val="16"/>
        </w:rPr>
      </w:pPr>
    </w:p>
    <w:p w:rsidR="00CA5082" w:rsidRPr="000152A5" w:rsidRDefault="00B53E13" w:rsidP="000152A5">
      <w:pPr>
        <w:pStyle w:val="Blockquote"/>
        <w:spacing w:before="0" w:after="0"/>
      </w:pPr>
      <w:r>
        <w:t>“</w:t>
      </w:r>
      <w:r w:rsidR="00CA5082" w:rsidRPr="00B53E13">
        <w:t>Bedside Swallow Evaluation</w:t>
      </w:r>
      <w:r>
        <w:t>”</w:t>
      </w:r>
      <w:r w:rsidR="00CA5082" w:rsidRPr="000152A5">
        <w:t xml:space="preserve"> </w:t>
      </w:r>
      <w:r>
        <w:t>means a</w:t>
      </w:r>
      <w:r w:rsidR="00CA5082" w:rsidRPr="000152A5">
        <w:t xml:space="preserve"> clinical evaluation of swallowing skills to identify the presence of eating or drinking problems (dysphagia)</w:t>
      </w:r>
      <w:r w:rsidR="00C3790F">
        <w:t>,</w:t>
      </w:r>
      <w:r w:rsidR="00CA5082" w:rsidRPr="000152A5">
        <w:t xml:space="preserve"> or changes in swallowing function. A Bedside Swallow Evaluation is completed by a</w:t>
      </w:r>
      <w:r w:rsidR="00C75C8F">
        <w:t xml:space="preserve"> </w:t>
      </w:r>
      <w:r w:rsidR="00C75C8F" w:rsidRPr="00CA5082">
        <w:t>Speech Language Pathologist</w:t>
      </w:r>
      <w:r w:rsidR="00CA5082" w:rsidRPr="000152A5">
        <w:t xml:space="preserve"> </w:t>
      </w:r>
      <w:r w:rsidR="00C75C8F">
        <w:t>(</w:t>
      </w:r>
      <w:r w:rsidR="00CA5082" w:rsidRPr="000152A5">
        <w:t>SLP</w:t>
      </w:r>
      <w:r w:rsidR="00C75C8F">
        <w:t>)</w:t>
      </w:r>
      <w:r w:rsidR="00CA5082" w:rsidRPr="000152A5">
        <w:t xml:space="preserve"> or </w:t>
      </w:r>
      <w:r w:rsidR="00C75C8F" w:rsidRPr="00CA5082">
        <w:t>Occupational Therapist</w:t>
      </w:r>
      <w:r w:rsidR="00C75C8F">
        <w:t xml:space="preserve"> (</w:t>
      </w:r>
      <w:r w:rsidR="00CA5082" w:rsidRPr="000152A5">
        <w:t>OT</w:t>
      </w:r>
      <w:r w:rsidR="00C75C8F">
        <w:t>)</w:t>
      </w:r>
      <w:r w:rsidR="00CA5082" w:rsidRPr="000152A5">
        <w:t xml:space="preserve"> with expertise in swallowing disorders. (Refer to: </w:t>
      </w:r>
      <w:r w:rsidR="000152A5" w:rsidRPr="00CA5082">
        <w:t xml:space="preserve">Health Standard </w:t>
      </w:r>
      <w:r w:rsidR="000152A5" w:rsidRPr="00CA5082">
        <w:rPr>
          <w:bCs/>
        </w:rPr>
        <w:t>No.</w:t>
      </w:r>
      <w:r w:rsidR="000152A5" w:rsidRPr="00CA5082">
        <w:t xml:space="preserve"> 16-2</w:t>
      </w:r>
      <w:r w:rsidR="000152A5">
        <w:t xml:space="preserve"> </w:t>
      </w:r>
      <w:r w:rsidR="000152A5" w:rsidRPr="00CA5082">
        <w:t>Attachment B Bedside Swallow Evaluation</w:t>
      </w:r>
      <w:r w:rsidR="00CA5082" w:rsidRPr="000152A5">
        <w:t>)</w:t>
      </w:r>
    </w:p>
    <w:p w:rsidR="00CA5082" w:rsidRPr="000152A5" w:rsidRDefault="00CA5082" w:rsidP="00F74173">
      <w:pPr>
        <w:ind w:left="360"/>
        <w:rPr>
          <w:rFonts w:ascii="Times New Roman" w:hAnsi="Times New Roman"/>
          <w:sz w:val="16"/>
          <w:szCs w:val="16"/>
        </w:rPr>
      </w:pPr>
    </w:p>
    <w:p w:rsidR="00CA5082" w:rsidRPr="00CA5082" w:rsidRDefault="00B13580" w:rsidP="00F74173">
      <w:pPr>
        <w:ind w:left="360"/>
        <w:rPr>
          <w:rFonts w:ascii="Times New Roman" w:hAnsi="Times New Roman"/>
          <w:szCs w:val="24"/>
        </w:rPr>
      </w:pPr>
      <w:r>
        <w:rPr>
          <w:rFonts w:ascii="Times New Roman" w:hAnsi="Times New Roman"/>
          <w:szCs w:val="24"/>
        </w:rPr>
        <w:t>“</w:t>
      </w:r>
      <w:r w:rsidR="00CA5082" w:rsidRPr="00B13580">
        <w:rPr>
          <w:rFonts w:ascii="Times New Roman" w:hAnsi="Times New Roman"/>
          <w:szCs w:val="24"/>
        </w:rPr>
        <w:t>Dysphagia</w:t>
      </w:r>
      <w:r w:rsidRPr="00B13580">
        <w:rPr>
          <w:rFonts w:ascii="Times New Roman" w:hAnsi="Times New Roman"/>
          <w:szCs w:val="24"/>
        </w:rPr>
        <w:t>”</w:t>
      </w:r>
      <w:r w:rsidR="00CA5082" w:rsidRPr="00B13580">
        <w:rPr>
          <w:rFonts w:ascii="Times New Roman" w:hAnsi="Times New Roman"/>
          <w:bCs/>
          <w:szCs w:val="24"/>
        </w:rPr>
        <w:t xml:space="preserve"> </w:t>
      </w:r>
      <w:r w:rsidRPr="00B13580">
        <w:rPr>
          <w:rFonts w:ascii="Times New Roman" w:hAnsi="Times New Roman"/>
          <w:bCs/>
          <w:szCs w:val="24"/>
        </w:rPr>
        <w:t>means a</w:t>
      </w:r>
      <w:r w:rsidR="00CA5082" w:rsidRPr="00CA5082">
        <w:rPr>
          <w:rFonts w:ascii="Times New Roman" w:hAnsi="Times New Roman"/>
          <w:bCs/>
          <w:szCs w:val="24"/>
        </w:rPr>
        <w:t xml:space="preserve"> swallowing disorder in which there is</w:t>
      </w:r>
      <w:r w:rsidR="00CA5082" w:rsidRPr="00CA5082">
        <w:rPr>
          <w:rFonts w:ascii="Times New Roman" w:hAnsi="Times New Roman"/>
          <w:b/>
          <w:bCs/>
          <w:szCs w:val="24"/>
        </w:rPr>
        <w:t xml:space="preserve"> </w:t>
      </w:r>
      <w:r w:rsidR="00CA5082" w:rsidRPr="00CA5082">
        <w:rPr>
          <w:rFonts w:ascii="Times New Roman" w:hAnsi="Times New Roman"/>
          <w:szCs w:val="24"/>
        </w:rPr>
        <w:t>difficulty swallowing or moving food or liquid safely from the mouth to the stomach</w:t>
      </w:r>
    </w:p>
    <w:p w:rsidR="00CA5082" w:rsidRPr="000152A5" w:rsidRDefault="00CA5082" w:rsidP="00F74173">
      <w:pPr>
        <w:ind w:left="360"/>
        <w:rPr>
          <w:rFonts w:ascii="Times New Roman" w:hAnsi="Times New Roman"/>
          <w:sz w:val="16"/>
          <w:szCs w:val="16"/>
        </w:rPr>
      </w:pPr>
    </w:p>
    <w:p w:rsidR="00CA5082" w:rsidRPr="00CA5082" w:rsidRDefault="00B13580" w:rsidP="00F74173">
      <w:pPr>
        <w:ind w:left="360"/>
        <w:rPr>
          <w:rFonts w:ascii="Times New Roman" w:hAnsi="Times New Roman"/>
          <w:szCs w:val="24"/>
        </w:rPr>
      </w:pPr>
      <w:r>
        <w:rPr>
          <w:rFonts w:ascii="Times New Roman" w:hAnsi="Times New Roman"/>
          <w:szCs w:val="24"/>
        </w:rPr>
        <w:t>“</w:t>
      </w:r>
      <w:r w:rsidR="00CA5082" w:rsidRPr="00B13580">
        <w:rPr>
          <w:rFonts w:ascii="Times New Roman" w:hAnsi="Times New Roman"/>
          <w:szCs w:val="24"/>
        </w:rPr>
        <w:t>Fiber optic endoscopic evaluation of swallowing (FEES)</w:t>
      </w:r>
      <w:r>
        <w:rPr>
          <w:rFonts w:ascii="Times New Roman" w:hAnsi="Times New Roman"/>
          <w:szCs w:val="24"/>
        </w:rPr>
        <w:t>”</w:t>
      </w:r>
      <w:r w:rsidR="00CA5082" w:rsidRPr="00CA5082">
        <w:rPr>
          <w:rFonts w:ascii="Times New Roman" w:hAnsi="Times New Roman"/>
          <w:szCs w:val="24"/>
        </w:rPr>
        <w:t xml:space="preserve"> </w:t>
      </w:r>
      <w:r>
        <w:rPr>
          <w:rFonts w:ascii="Times New Roman" w:hAnsi="Times New Roman"/>
          <w:szCs w:val="24"/>
        </w:rPr>
        <w:t>means t</w:t>
      </w:r>
      <w:r w:rsidR="00CA5082" w:rsidRPr="00CA5082">
        <w:rPr>
          <w:rFonts w:ascii="Times New Roman" w:hAnsi="Times New Roman"/>
          <w:szCs w:val="24"/>
        </w:rPr>
        <w:t>he procedure designed to assess swallowing function through the use of vocal tract visualization and imaging to examine the pharyngeal and laryngeal structures.</w:t>
      </w:r>
    </w:p>
    <w:p w:rsidR="00CA5082" w:rsidRPr="000152A5" w:rsidRDefault="00CA5082" w:rsidP="00F74173">
      <w:pPr>
        <w:ind w:left="360"/>
        <w:rPr>
          <w:rFonts w:ascii="Times New Roman" w:hAnsi="Times New Roman"/>
          <w:sz w:val="16"/>
          <w:szCs w:val="16"/>
        </w:rPr>
      </w:pPr>
    </w:p>
    <w:p w:rsidR="00CA5082" w:rsidRPr="00CA5082" w:rsidRDefault="00B13580" w:rsidP="00F74173">
      <w:pPr>
        <w:ind w:left="360"/>
        <w:rPr>
          <w:rFonts w:ascii="Times New Roman" w:hAnsi="Times New Roman"/>
          <w:szCs w:val="24"/>
        </w:rPr>
      </w:pPr>
      <w:r>
        <w:rPr>
          <w:rFonts w:ascii="Times New Roman" w:hAnsi="Times New Roman"/>
          <w:szCs w:val="24"/>
        </w:rPr>
        <w:t>“</w:t>
      </w:r>
      <w:r w:rsidR="00CA5082" w:rsidRPr="00B13580">
        <w:rPr>
          <w:rFonts w:ascii="Times New Roman" w:hAnsi="Times New Roman"/>
          <w:szCs w:val="24"/>
        </w:rPr>
        <w:t>Modified Barium Swallow (MBS)</w:t>
      </w:r>
      <w:r w:rsidRPr="00B13580">
        <w:rPr>
          <w:rFonts w:ascii="Times New Roman" w:hAnsi="Times New Roman"/>
          <w:szCs w:val="24"/>
        </w:rPr>
        <w:t>”</w:t>
      </w:r>
      <w:r w:rsidR="00CA5082" w:rsidRPr="00B13580">
        <w:rPr>
          <w:rFonts w:ascii="Times New Roman" w:hAnsi="Times New Roman"/>
          <w:bCs/>
          <w:szCs w:val="24"/>
        </w:rPr>
        <w:t xml:space="preserve"> </w:t>
      </w:r>
      <w:r w:rsidRPr="00B13580">
        <w:rPr>
          <w:rFonts w:ascii="Times New Roman" w:hAnsi="Times New Roman"/>
          <w:bCs/>
          <w:szCs w:val="24"/>
        </w:rPr>
        <w:t>means a</w:t>
      </w:r>
      <w:r w:rsidR="00CA5082" w:rsidRPr="00B13580">
        <w:rPr>
          <w:rFonts w:ascii="Times New Roman" w:hAnsi="Times New Roman"/>
          <w:szCs w:val="24"/>
        </w:rPr>
        <w:t xml:space="preserve"> </w:t>
      </w:r>
      <w:r w:rsidR="00CA5082" w:rsidRPr="00CA5082">
        <w:rPr>
          <w:rFonts w:ascii="Times New Roman" w:hAnsi="Times New Roman"/>
          <w:szCs w:val="24"/>
        </w:rPr>
        <w:t>radiological procedure designed to examine the details of the oral and pharyngeal physiology during a swallow.</w:t>
      </w:r>
    </w:p>
    <w:p w:rsidR="00CA5082" w:rsidRPr="000152A5" w:rsidRDefault="00CA5082" w:rsidP="00F74173">
      <w:pPr>
        <w:ind w:left="360"/>
        <w:rPr>
          <w:rFonts w:ascii="Times New Roman" w:hAnsi="Times New Roman"/>
          <w:sz w:val="16"/>
          <w:szCs w:val="16"/>
        </w:rPr>
      </w:pPr>
    </w:p>
    <w:p w:rsidR="00CA5082" w:rsidRPr="00CA5082" w:rsidRDefault="00B13580" w:rsidP="00F74173">
      <w:pPr>
        <w:ind w:left="360"/>
        <w:rPr>
          <w:rFonts w:ascii="Times New Roman" w:hAnsi="Times New Roman"/>
          <w:szCs w:val="24"/>
        </w:rPr>
      </w:pPr>
      <w:r>
        <w:rPr>
          <w:rFonts w:ascii="Times New Roman" w:hAnsi="Times New Roman"/>
          <w:szCs w:val="24"/>
        </w:rPr>
        <w:t>“</w:t>
      </w:r>
      <w:r w:rsidR="00CA5082" w:rsidRPr="00B13580">
        <w:rPr>
          <w:rFonts w:ascii="Times New Roman" w:hAnsi="Times New Roman"/>
          <w:szCs w:val="24"/>
        </w:rPr>
        <w:t>Pica</w:t>
      </w:r>
      <w:r>
        <w:rPr>
          <w:rFonts w:ascii="Times New Roman" w:hAnsi="Times New Roman"/>
          <w:szCs w:val="24"/>
        </w:rPr>
        <w:t>”</w:t>
      </w:r>
      <w:r w:rsidR="00CA5082" w:rsidRPr="00CA5082">
        <w:rPr>
          <w:rFonts w:ascii="Times New Roman" w:hAnsi="Times New Roman"/>
          <w:szCs w:val="24"/>
        </w:rPr>
        <w:t xml:space="preserve"> </w:t>
      </w:r>
      <w:r>
        <w:rPr>
          <w:rFonts w:ascii="Times New Roman" w:hAnsi="Times New Roman"/>
          <w:szCs w:val="24"/>
        </w:rPr>
        <w:t>means a</w:t>
      </w:r>
      <w:r w:rsidR="00CA5082" w:rsidRPr="00CA5082">
        <w:rPr>
          <w:rFonts w:ascii="Times New Roman" w:hAnsi="Times New Roman"/>
          <w:szCs w:val="24"/>
        </w:rPr>
        <w:t xml:space="preserve"> diagnosed condition of a persistent eating of non-nutritive items or non-food materials.</w:t>
      </w:r>
    </w:p>
    <w:p w:rsidR="00CA5082" w:rsidRPr="000152A5" w:rsidRDefault="00CA5082" w:rsidP="00F74173">
      <w:pPr>
        <w:pStyle w:val="Header"/>
        <w:tabs>
          <w:tab w:val="clear" w:pos="4320"/>
          <w:tab w:val="clear" w:pos="8640"/>
        </w:tabs>
        <w:ind w:left="360"/>
        <w:rPr>
          <w:rFonts w:ascii="Times New Roman" w:hAnsi="Times New Roman"/>
          <w:sz w:val="16"/>
          <w:szCs w:val="16"/>
        </w:rPr>
      </w:pPr>
    </w:p>
    <w:p w:rsidR="00CA5082" w:rsidRPr="00CA5082" w:rsidRDefault="00B13580" w:rsidP="000152A5">
      <w:pPr>
        <w:pStyle w:val="Blockquote"/>
        <w:spacing w:before="0" w:after="0"/>
        <w:ind w:right="1080"/>
      </w:pPr>
      <w:r>
        <w:lastRenderedPageBreak/>
        <w:t>“</w:t>
      </w:r>
      <w:r w:rsidR="00CA5082" w:rsidRPr="00B13580">
        <w:t>Reflux</w:t>
      </w:r>
      <w:r w:rsidRPr="00B13580">
        <w:t>”</w:t>
      </w:r>
      <w:r w:rsidR="00CA5082" w:rsidRPr="00B13580">
        <w:rPr>
          <w:bCs/>
        </w:rPr>
        <w:t xml:space="preserve"> </w:t>
      </w:r>
      <w:r w:rsidRPr="00B13580">
        <w:rPr>
          <w:bCs/>
        </w:rPr>
        <w:t>means a</w:t>
      </w:r>
      <w:r w:rsidR="00CA5082" w:rsidRPr="00CA5082">
        <w:t xml:space="preserve"> return or backward flow of substance from the stomach into the esophagus.  Reflux precautions are commonly prescribed for individuals with gastroesophageal reflux disease (GERD).  (Refer to: </w:t>
      </w:r>
      <w:r w:rsidR="000152A5" w:rsidRPr="00CA5082">
        <w:t xml:space="preserve">Health Standard </w:t>
      </w:r>
      <w:r w:rsidR="000152A5" w:rsidRPr="00CA5082">
        <w:rPr>
          <w:bCs/>
        </w:rPr>
        <w:t>No.</w:t>
      </w:r>
      <w:r w:rsidR="000152A5" w:rsidRPr="00CA5082">
        <w:t xml:space="preserve"> </w:t>
      </w:r>
      <w:r w:rsidR="000152A5">
        <w:t>1</w:t>
      </w:r>
      <w:r w:rsidR="000152A5" w:rsidRPr="00CA5082">
        <w:t>6-2</w:t>
      </w:r>
      <w:r w:rsidR="000152A5">
        <w:t xml:space="preserve"> </w:t>
      </w:r>
      <w:r w:rsidR="000152A5" w:rsidRPr="00CA5082">
        <w:t>Attachment D Sample protocol: Reflux Precautions</w:t>
      </w:r>
      <w:r w:rsidR="00CA5082" w:rsidRPr="00CA5082">
        <w:t>)</w:t>
      </w:r>
    </w:p>
    <w:p w:rsidR="00CA5082" w:rsidRPr="005E36EB" w:rsidRDefault="00CA5082" w:rsidP="00CA5082">
      <w:pPr>
        <w:rPr>
          <w:rFonts w:ascii="Times New Roman" w:eastAsia="Arial Unicode MS" w:hAnsi="Times New Roman"/>
          <w:sz w:val="16"/>
          <w:szCs w:val="16"/>
        </w:rPr>
      </w:pPr>
    </w:p>
    <w:p w:rsidR="00CA5082" w:rsidRPr="00F74173" w:rsidRDefault="00F74173" w:rsidP="00F74173">
      <w:pPr>
        <w:pStyle w:val="ListParagraph"/>
        <w:numPr>
          <w:ilvl w:val="0"/>
          <w:numId w:val="17"/>
        </w:numPr>
        <w:ind w:left="360"/>
        <w:rPr>
          <w:b/>
          <w:bCs/>
        </w:rPr>
      </w:pPr>
      <w:r w:rsidRPr="00F74173">
        <w:rPr>
          <w:b/>
          <w:bCs/>
        </w:rPr>
        <w:t>Implementation</w:t>
      </w:r>
    </w:p>
    <w:p w:rsidR="00CA5082" w:rsidRPr="00AC67DB" w:rsidRDefault="00213C0B" w:rsidP="003B618A">
      <w:pPr>
        <w:pStyle w:val="ListParagraph"/>
        <w:numPr>
          <w:ilvl w:val="0"/>
          <w:numId w:val="23"/>
        </w:numPr>
        <w:rPr>
          <w:b/>
        </w:rPr>
      </w:pPr>
      <w:r>
        <w:rPr>
          <w:b/>
        </w:rPr>
        <w:t>Training staff to u</w:t>
      </w:r>
      <w:r w:rsidR="00CA5082" w:rsidRPr="00AC67DB">
        <w:rPr>
          <w:b/>
        </w:rPr>
        <w:t>nderstand swallowing disorders and recogni</w:t>
      </w:r>
      <w:r>
        <w:rPr>
          <w:b/>
        </w:rPr>
        <w:t>ze</w:t>
      </w:r>
      <w:r w:rsidR="00CA5082" w:rsidRPr="00AC67DB">
        <w:rPr>
          <w:b/>
        </w:rPr>
        <w:t xml:space="preserve"> swallowing risks </w:t>
      </w:r>
    </w:p>
    <w:p w:rsidR="00CA5082" w:rsidRPr="0070113D" w:rsidRDefault="00CA5082" w:rsidP="00CA5082">
      <w:pPr>
        <w:rPr>
          <w:rFonts w:ascii="Times New Roman" w:hAnsi="Times New Roman"/>
          <w:sz w:val="16"/>
          <w:szCs w:val="16"/>
        </w:rPr>
      </w:pPr>
    </w:p>
    <w:p w:rsidR="004A3880" w:rsidRPr="004A3880" w:rsidRDefault="004A3880" w:rsidP="00E23D87">
      <w:pPr>
        <w:pStyle w:val="ListParagraph"/>
        <w:numPr>
          <w:ilvl w:val="0"/>
          <w:numId w:val="44"/>
        </w:numPr>
        <w:ind w:left="1080"/>
      </w:pPr>
      <w:r w:rsidRPr="0070113D">
        <w:t>Licensed clinicians</w:t>
      </w:r>
      <w:r w:rsidRPr="004A3880">
        <w:t xml:space="preserve"> are permitted to become qualified trainers in safe eating and drinking and swallowing risks if they have attended and successfully completed a DDS train-the-trainer session. </w:t>
      </w:r>
    </w:p>
    <w:p w:rsidR="004A3880" w:rsidRPr="0070113D" w:rsidRDefault="004A3880" w:rsidP="00E23D87">
      <w:pPr>
        <w:ind w:left="1080"/>
        <w:rPr>
          <w:rFonts w:ascii="Times New Roman" w:hAnsi="Times New Roman"/>
          <w:sz w:val="16"/>
          <w:szCs w:val="16"/>
        </w:rPr>
      </w:pPr>
    </w:p>
    <w:p w:rsidR="004A3880" w:rsidRPr="004A3880" w:rsidRDefault="004A3880" w:rsidP="00E23D87">
      <w:pPr>
        <w:pStyle w:val="ListParagraph"/>
        <w:numPr>
          <w:ilvl w:val="0"/>
          <w:numId w:val="44"/>
        </w:numPr>
        <w:ind w:left="1080"/>
      </w:pPr>
      <w:r w:rsidRPr="004A3880">
        <w:t>Supervisory or professional staff with at least three years of experience working with persons with intellectual disability, are permitted to become qualified trainers in safe eating and drinking and swallowing risks if they have attended and successfully completed a DDS train-the-trainer session</w:t>
      </w:r>
    </w:p>
    <w:p w:rsidR="004A3880" w:rsidRPr="0070113D" w:rsidRDefault="004A3880" w:rsidP="00E23D87">
      <w:pPr>
        <w:ind w:left="1080"/>
        <w:rPr>
          <w:rFonts w:ascii="Times New Roman" w:hAnsi="Times New Roman"/>
          <w:sz w:val="16"/>
          <w:szCs w:val="16"/>
        </w:rPr>
      </w:pPr>
    </w:p>
    <w:p w:rsidR="004A3880" w:rsidRPr="004A3880" w:rsidRDefault="004A3880" w:rsidP="00E23D87">
      <w:pPr>
        <w:pStyle w:val="ListParagraph"/>
        <w:numPr>
          <w:ilvl w:val="0"/>
          <w:numId w:val="44"/>
        </w:numPr>
        <w:ind w:left="1080"/>
      </w:pPr>
      <w:r w:rsidRPr="004A3880">
        <w:t>Speech Language Pathologists (SLPs) and Occupational Therapists (OTs) are exempt from having to participate in a DDS train-the-trainer course to be a qualified trainer in safe eating and drinking and swallowing risks.</w:t>
      </w:r>
    </w:p>
    <w:p w:rsidR="004A3880" w:rsidRPr="0070113D" w:rsidRDefault="004A3880" w:rsidP="00E23D87">
      <w:pPr>
        <w:ind w:left="1080"/>
        <w:rPr>
          <w:rFonts w:ascii="Times New Roman" w:hAnsi="Times New Roman"/>
          <w:sz w:val="16"/>
          <w:szCs w:val="16"/>
        </w:rPr>
      </w:pPr>
    </w:p>
    <w:p w:rsidR="004A3880" w:rsidRPr="004A3880" w:rsidRDefault="004A3880" w:rsidP="00E23D87">
      <w:pPr>
        <w:pStyle w:val="ListParagraph"/>
        <w:numPr>
          <w:ilvl w:val="0"/>
          <w:numId w:val="44"/>
        </w:numPr>
        <w:ind w:left="1080"/>
      </w:pPr>
      <w:r w:rsidRPr="004A3880">
        <w:t xml:space="preserve">All qualified trainers in safe eating and drinking and swallowing risks shall utilize the DDS training curriculum to provide instruction to </w:t>
      </w:r>
      <w:r w:rsidR="006B2A10">
        <w:t>direct support staff</w:t>
      </w:r>
      <w:r w:rsidR="006B2A10" w:rsidRPr="004A3880">
        <w:t xml:space="preserve"> </w:t>
      </w:r>
      <w:r w:rsidR="006B2A10">
        <w:t xml:space="preserve">and other </w:t>
      </w:r>
      <w:r w:rsidRPr="004A3880">
        <w:t>employees.</w:t>
      </w:r>
    </w:p>
    <w:p w:rsidR="004A3880" w:rsidRPr="0070113D" w:rsidRDefault="004A3880" w:rsidP="00E23D87">
      <w:pPr>
        <w:ind w:left="1080"/>
        <w:rPr>
          <w:rFonts w:ascii="Times New Roman" w:hAnsi="Times New Roman"/>
          <w:sz w:val="16"/>
          <w:szCs w:val="16"/>
        </w:rPr>
      </w:pPr>
    </w:p>
    <w:p w:rsidR="004A3880" w:rsidRPr="004A3880" w:rsidRDefault="004A3880" w:rsidP="00E23D87">
      <w:pPr>
        <w:pStyle w:val="ListParagraph"/>
        <w:numPr>
          <w:ilvl w:val="0"/>
          <w:numId w:val="44"/>
        </w:numPr>
        <w:ind w:left="1080"/>
      </w:pPr>
      <w:r w:rsidRPr="004A3880">
        <w:t>Non-licensed trainers in safe eating and drinking and swallowing risks who have not taught for a period of three years shall repeat the DDS train-the-trainer curriculum before they are allowed to provide instruction to employees.</w:t>
      </w:r>
    </w:p>
    <w:p w:rsidR="00213C0B" w:rsidRPr="0070113D" w:rsidRDefault="00213C0B" w:rsidP="00E23D87">
      <w:pPr>
        <w:ind w:left="1080"/>
        <w:rPr>
          <w:rFonts w:ascii="Times New Roman" w:hAnsi="Times New Roman"/>
          <w:sz w:val="16"/>
          <w:szCs w:val="16"/>
        </w:rPr>
      </w:pPr>
    </w:p>
    <w:p w:rsidR="00863651" w:rsidRDefault="00CA5082" w:rsidP="00E23D87">
      <w:pPr>
        <w:numPr>
          <w:ilvl w:val="0"/>
          <w:numId w:val="44"/>
        </w:numPr>
        <w:ind w:left="1080"/>
        <w:rPr>
          <w:rFonts w:ascii="Times New Roman" w:hAnsi="Times New Roman"/>
          <w:szCs w:val="24"/>
        </w:rPr>
      </w:pPr>
      <w:r w:rsidRPr="00CA5082">
        <w:rPr>
          <w:rFonts w:ascii="Times New Roman" w:hAnsi="Times New Roman"/>
          <w:szCs w:val="24"/>
        </w:rPr>
        <w:t xml:space="preserve">Training </w:t>
      </w:r>
      <w:r w:rsidR="00863651" w:rsidRPr="004A3880">
        <w:rPr>
          <w:rFonts w:ascii="Times New Roman" w:hAnsi="Times New Roman"/>
          <w:szCs w:val="24"/>
        </w:rPr>
        <w:t xml:space="preserve">in safe eating and drinking and swallowing risks </w:t>
      </w:r>
      <w:r w:rsidRPr="00CA5082">
        <w:rPr>
          <w:rFonts w:ascii="Times New Roman" w:hAnsi="Times New Roman"/>
          <w:szCs w:val="24"/>
        </w:rPr>
        <w:t xml:space="preserve">shall be provided </w:t>
      </w:r>
      <w:r w:rsidR="00863651">
        <w:rPr>
          <w:rFonts w:ascii="Times New Roman" w:hAnsi="Times New Roman"/>
          <w:szCs w:val="24"/>
        </w:rPr>
        <w:t>by a qualified trainer to all new direct support staff</w:t>
      </w:r>
      <w:r w:rsidRPr="00CA5082">
        <w:rPr>
          <w:rFonts w:ascii="Times New Roman" w:hAnsi="Times New Roman"/>
          <w:szCs w:val="24"/>
        </w:rPr>
        <w:t xml:space="preserve">. </w:t>
      </w:r>
      <w:r w:rsidR="00863651">
        <w:rPr>
          <w:rFonts w:ascii="Times New Roman" w:hAnsi="Times New Roman"/>
          <w:szCs w:val="24"/>
        </w:rPr>
        <w:t xml:space="preserve"> </w:t>
      </w:r>
      <w:r w:rsidRPr="00CA5082">
        <w:rPr>
          <w:rFonts w:ascii="Times New Roman" w:hAnsi="Times New Roman"/>
          <w:szCs w:val="24"/>
        </w:rPr>
        <w:t>Other staff</w:t>
      </w:r>
      <w:r w:rsidR="006B2A10">
        <w:rPr>
          <w:rFonts w:ascii="Times New Roman" w:hAnsi="Times New Roman"/>
          <w:szCs w:val="24"/>
        </w:rPr>
        <w:t>,</w:t>
      </w:r>
      <w:r w:rsidRPr="00CA5082">
        <w:rPr>
          <w:rFonts w:ascii="Times New Roman" w:hAnsi="Times New Roman"/>
          <w:szCs w:val="24"/>
        </w:rPr>
        <w:t xml:space="preserve"> who support or assist individuals with a swallowing disorder (i.e., licensed nurses, supervisory staff, case managers)</w:t>
      </w:r>
      <w:r w:rsidR="006B2A10">
        <w:rPr>
          <w:rFonts w:ascii="Times New Roman" w:hAnsi="Times New Roman"/>
          <w:szCs w:val="24"/>
        </w:rPr>
        <w:t>,</w:t>
      </w:r>
      <w:r w:rsidRPr="00CA5082">
        <w:rPr>
          <w:rFonts w:ascii="Times New Roman" w:hAnsi="Times New Roman"/>
          <w:szCs w:val="24"/>
        </w:rPr>
        <w:t xml:space="preserve"> also</w:t>
      </w:r>
      <w:r w:rsidR="006B2A10">
        <w:rPr>
          <w:rFonts w:ascii="Times New Roman" w:hAnsi="Times New Roman"/>
          <w:szCs w:val="24"/>
        </w:rPr>
        <w:t>,</w:t>
      </w:r>
      <w:r w:rsidRPr="00CA5082">
        <w:rPr>
          <w:rFonts w:ascii="Times New Roman" w:hAnsi="Times New Roman"/>
          <w:szCs w:val="24"/>
        </w:rPr>
        <w:t xml:space="preserve"> may require training.  Training </w:t>
      </w:r>
      <w:r w:rsidR="006B2A10" w:rsidRPr="004A3880">
        <w:rPr>
          <w:rFonts w:ascii="Times New Roman" w:hAnsi="Times New Roman"/>
          <w:szCs w:val="24"/>
        </w:rPr>
        <w:t>in safe eating and drinking and swallowing risks</w:t>
      </w:r>
      <w:r w:rsidRPr="00CA5082">
        <w:rPr>
          <w:rFonts w:ascii="Times New Roman" w:hAnsi="Times New Roman"/>
          <w:szCs w:val="24"/>
        </w:rPr>
        <w:t xml:space="preserve"> shall be repeated at a minimum every two years.</w:t>
      </w:r>
    </w:p>
    <w:p w:rsidR="00863651" w:rsidRPr="0070113D" w:rsidRDefault="00863651" w:rsidP="00E23D87">
      <w:pPr>
        <w:ind w:left="1080" w:firstLine="120"/>
        <w:rPr>
          <w:rFonts w:ascii="Times New Roman" w:hAnsi="Times New Roman"/>
          <w:sz w:val="16"/>
          <w:szCs w:val="16"/>
        </w:rPr>
      </w:pPr>
    </w:p>
    <w:p w:rsidR="00863651" w:rsidRPr="00E23D87" w:rsidRDefault="00863651" w:rsidP="00E23D87">
      <w:pPr>
        <w:pStyle w:val="BodyTextIndent"/>
        <w:numPr>
          <w:ilvl w:val="0"/>
          <w:numId w:val="44"/>
        </w:numPr>
        <w:ind w:left="1080"/>
        <w:rPr>
          <w:sz w:val="24"/>
        </w:rPr>
      </w:pPr>
      <w:r w:rsidRPr="00E23D87">
        <w:rPr>
          <w:sz w:val="24"/>
        </w:rPr>
        <w:t xml:space="preserve">Qualified provider agencies shall </w:t>
      </w:r>
      <w:r w:rsidR="006B2A10" w:rsidRPr="00E23D87">
        <w:rPr>
          <w:sz w:val="24"/>
        </w:rPr>
        <w:t>designate a</w:t>
      </w:r>
      <w:r w:rsidRPr="00E23D87">
        <w:rPr>
          <w:sz w:val="24"/>
        </w:rPr>
        <w:t xml:space="preserve"> qualified </w:t>
      </w:r>
      <w:r w:rsidR="006B2A10" w:rsidRPr="00E23D87">
        <w:t>trainer or licensed clinical consultant</w:t>
      </w:r>
      <w:r w:rsidRPr="00E23D87">
        <w:rPr>
          <w:sz w:val="24"/>
        </w:rPr>
        <w:t xml:space="preserve"> who shall provide </w:t>
      </w:r>
      <w:r w:rsidR="00E23D87" w:rsidRPr="00E23D87">
        <w:rPr>
          <w:sz w:val="24"/>
        </w:rPr>
        <w:t xml:space="preserve">training in </w:t>
      </w:r>
      <w:r w:rsidRPr="00E23D87">
        <w:rPr>
          <w:sz w:val="24"/>
        </w:rPr>
        <w:t>safe eating and drinking and swallowing risk</w:t>
      </w:r>
      <w:r w:rsidR="00E23D87" w:rsidRPr="00E23D87">
        <w:rPr>
          <w:sz w:val="24"/>
        </w:rPr>
        <w:t>s to direct care staff and other employees.</w:t>
      </w:r>
    </w:p>
    <w:p w:rsidR="00863651" w:rsidRPr="0070113D" w:rsidRDefault="00863651" w:rsidP="00E23D87">
      <w:pPr>
        <w:ind w:left="1080"/>
        <w:rPr>
          <w:rFonts w:ascii="Times New Roman" w:hAnsi="Times New Roman"/>
          <w:sz w:val="16"/>
          <w:szCs w:val="16"/>
        </w:rPr>
      </w:pPr>
    </w:p>
    <w:p w:rsidR="00CA5082" w:rsidRPr="00CA5082" w:rsidRDefault="00CA5082" w:rsidP="00E23D87">
      <w:pPr>
        <w:numPr>
          <w:ilvl w:val="0"/>
          <w:numId w:val="44"/>
        </w:numPr>
        <w:ind w:left="1080"/>
        <w:rPr>
          <w:rFonts w:ascii="Times New Roman" w:hAnsi="Times New Roman"/>
          <w:szCs w:val="24"/>
        </w:rPr>
      </w:pPr>
      <w:r w:rsidRPr="00CA5082">
        <w:rPr>
          <w:rFonts w:ascii="Times New Roman" w:hAnsi="Times New Roman"/>
          <w:szCs w:val="24"/>
        </w:rPr>
        <w:t xml:space="preserve">Training </w:t>
      </w:r>
      <w:r w:rsidR="00863651" w:rsidRPr="004A3880">
        <w:rPr>
          <w:rFonts w:ascii="Times New Roman" w:hAnsi="Times New Roman"/>
          <w:szCs w:val="24"/>
        </w:rPr>
        <w:t xml:space="preserve">in safe eating and drinking and swallowing risks </w:t>
      </w:r>
      <w:r w:rsidRPr="00CA5082">
        <w:rPr>
          <w:rFonts w:ascii="Times New Roman" w:hAnsi="Times New Roman"/>
          <w:szCs w:val="24"/>
        </w:rPr>
        <w:t xml:space="preserve">shall address the following areas: </w:t>
      </w:r>
    </w:p>
    <w:p w:rsidR="00CA5082" w:rsidRPr="0070113D" w:rsidRDefault="00CA5082" w:rsidP="00CA5082">
      <w:pPr>
        <w:ind w:left="1800"/>
        <w:rPr>
          <w:rFonts w:ascii="Times New Roman" w:hAnsi="Times New Roman"/>
          <w:sz w:val="16"/>
          <w:szCs w:val="16"/>
        </w:rPr>
      </w:pPr>
    </w:p>
    <w:p w:rsidR="00CA5082" w:rsidRDefault="00CA5082" w:rsidP="005E36EB">
      <w:pPr>
        <w:numPr>
          <w:ilvl w:val="0"/>
          <w:numId w:val="5"/>
        </w:numPr>
        <w:ind w:left="1440"/>
        <w:rPr>
          <w:rFonts w:ascii="Times New Roman" w:hAnsi="Times New Roman"/>
          <w:szCs w:val="24"/>
        </w:rPr>
      </w:pPr>
      <w:r w:rsidRPr="00CA5082">
        <w:rPr>
          <w:rFonts w:ascii="Times New Roman" w:hAnsi="Times New Roman"/>
          <w:szCs w:val="24"/>
        </w:rPr>
        <w:t>The definition and explanation of basic swallowing process, swallowing risks factors and potential complications</w:t>
      </w:r>
      <w:r w:rsidR="00863651">
        <w:rPr>
          <w:rFonts w:ascii="Times New Roman" w:hAnsi="Times New Roman"/>
          <w:szCs w:val="24"/>
        </w:rPr>
        <w:t>;</w:t>
      </w:r>
    </w:p>
    <w:p w:rsidR="005E36EB" w:rsidRPr="005E36EB" w:rsidRDefault="005E36EB" w:rsidP="005E36EB">
      <w:pPr>
        <w:rPr>
          <w:rFonts w:ascii="Times New Roman" w:hAnsi="Times New Roman"/>
          <w:sz w:val="8"/>
          <w:szCs w:val="8"/>
        </w:rPr>
      </w:pPr>
    </w:p>
    <w:p w:rsidR="005E36EB" w:rsidRDefault="00CA5082" w:rsidP="005E36EB">
      <w:pPr>
        <w:numPr>
          <w:ilvl w:val="0"/>
          <w:numId w:val="5"/>
        </w:numPr>
        <w:ind w:left="1440"/>
        <w:rPr>
          <w:rFonts w:ascii="Times New Roman" w:hAnsi="Times New Roman"/>
          <w:szCs w:val="24"/>
        </w:rPr>
      </w:pPr>
      <w:r w:rsidRPr="00CA5082">
        <w:rPr>
          <w:rFonts w:ascii="Times New Roman" w:hAnsi="Times New Roman"/>
          <w:szCs w:val="24"/>
        </w:rPr>
        <w:t>Observable signs of swallowing difficulties, reporting and documentation responsibilities</w:t>
      </w:r>
      <w:r w:rsidR="00863651">
        <w:rPr>
          <w:rFonts w:ascii="Times New Roman" w:hAnsi="Times New Roman"/>
          <w:szCs w:val="24"/>
        </w:rPr>
        <w:t>; and</w:t>
      </w:r>
    </w:p>
    <w:p w:rsidR="00CA5082" w:rsidRPr="005E36EB" w:rsidRDefault="00863651" w:rsidP="005E36EB">
      <w:pPr>
        <w:rPr>
          <w:rFonts w:ascii="Times New Roman" w:hAnsi="Times New Roman"/>
          <w:sz w:val="8"/>
          <w:szCs w:val="8"/>
        </w:rPr>
      </w:pPr>
      <w:r w:rsidRPr="005E36EB">
        <w:rPr>
          <w:rFonts w:ascii="Times New Roman" w:hAnsi="Times New Roman"/>
          <w:sz w:val="8"/>
          <w:szCs w:val="8"/>
        </w:rPr>
        <w:t xml:space="preserve"> </w:t>
      </w:r>
    </w:p>
    <w:p w:rsidR="00CA5082" w:rsidRPr="00CA5082" w:rsidRDefault="00CA5082" w:rsidP="00AC67DB">
      <w:pPr>
        <w:numPr>
          <w:ilvl w:val="0"/>
          <w:numId w:val="5"/>
        </w:numPr>
        <w:ind w:left="1440"/>
        <w:rPr>
          <w:rFonts w:ascii="Times New Roman" w:hAnsi="Times New Roman"/>
          <w:szCs w:val="24"/>
        </w:rPr>
      </w:pPr>
      <w:r w:rsidRPr="00CA5082">
        <w:rPr>
          <w:rFonts w:ascii="Times New Roman" w:hAnsi="Times New Roman"/>
          <w:szCs w:val="24"/>
        </w:rPr>
        <w:t>Food and liquid consistency modifications</w:t>
      </w:r>
      <w:r w:rsidR="00863651">
        <w:rPr>
          <w:rFonts w:ascii="Times New Roman" w:hAnsi="Times New Roman"/>
          <w:szCs w:val="24"/>
        </w:rPr>
        <w:t>.</w:t>
      </w:r>
      <w:r w:rsidRPr="00CA5082">
        <w:rPr>
          <w:rFonts w:ascii="Times New Roman" w:hAnsi="Times New Roman"/>
          <w:szCs w:val="24"/>
        </w:rPr>
        <w:t xml:space="preserve"> </w:t>
      </w:r>
    </w:p>
    <w:p w:rsidR="00CA5082" w:rsidRPr="005E36EB" w:rsidRDefault="00CA5082" w:rsidP="00E23D87">
      <w:pPr>
        <w:rPr>
          <w:rFonts w:ascii="Times New Roman" w:hAnsi="Times New Roman"/>
          <w:sz w:val="16"/>
          <w:szCs w:val="16"/>
        </w:rPr>
      </w:pPr>
    </w:p>
    <w:p w:rsidR="00CA5082" w:rsidRPr="00AC67DB" w:rsidRDefault="00CA5082" w:rsidP="003B618A">
      <w:pPr>
        <w:pStyle w:val="ListParagraph"/>
        <w:numPr>
          <w:ilvl w:val="0"/>
          <w:numId w:val="23"/>
        </w:numPr>
        <w:rPr>
          <w:b/>
        </w:rPr>
      </w:pPr>
      <w:r w:rsidRPr="00AC67DB">
        <w:rPr>
          <w:b/>
        </w:rPr>
        <w:t>Identification and follow-up of individuals with swallowing risks</w:t>
      </w:r>
    </w:p>
    <w:p w:rsidR="00CA5082" w:rsidRPr="00CA5082" w:rsidRDefault="00CA5082" w:rsidP="00AC67DB">
      <w:pPr>
        <w:ind w:left="720"/>
        <w:rPr>
          <w:rFonts w:ascii="Times New Roman" w:hAnsi="Times New Roman"/>
          <w:szCs w:val="24"/>
        </w:rPr>
      </w:pPr>
      <w:r w:rsidRPr="00CA5082">
        <w:rPr>
          <w:rFonts w:ascii="Times New Roman" w:hAnsi="Times New Roman"/>
          <w:szCs w:val="24"/>
        </w:rPr>
        <w:t xml:space="preserve">Individuals may display signs and symptoms of a swallowing disorder independent of whether or not he or she has a diagnosis.  There are several formal and informal processes that identify swallowing risks or </w:t>
      </w:r>
      <w:r w:rsidR="008D3074">
        <w:rPr>
          <w:rFonts w:ascii="Times New Roman" w:hAnsi="Times New Roman"/>
          <w:szCs w:val="24"/>
        </w:rPr>
        <w:t xml:space="preserve">the </w:t>
      </w:r>
      <w:r w:rsidRPr="00CA5082">
        <w:rPr>
          <w:rFonts w:ascii="Times New Roman" w:hAnsi="Times New Roman"/>
          <w:szCs w:val="24"/>
        </w:rPr>
        <w:t>need for further evaluation. These include:</w:t>
      </w:r>
    </w:p>
    <w:p w:rsidR="00CA5082" w:rsidRPr="0070113D" w:rsidRDefault="00CA5082" w:rsidP="00CA5082">
      <w:pPr>
        <w:pStyle w:val="Blockquote"/>
        <w:spacing w:before="0" w:after="0"/>
        <w:ind w:left="720"/>
        <w:rPr>
          <w:sz w:val="16"/>
          <w:szCs w:val="16"/>
        </w:rPr>
      </w:pPr>
    </w:p>
    <w:p w:rsidR="00CA5082" w:rsidRPr="00CA5082" w:rsidRDefault="00CA5082" w:rsidP="00AC67DB">
      <w:pPr>
        <w:pStyle w:val="Blockquote"/>
        <w:numPr>
          <w:ilvl w:val="0"/>
          <w:numId w:val="7"/>
        </w:numPr>
        <w:tabs>
          <w:tab w:val="clear" w:pos="1080"/>
        </w:tabs>
        <w:spacing w:before="0" w:after="0"/>
      </w:pPr>
      <w:r w:rsidRPr="00CA5082">
        <w:t xml:space="preserve">Observations by </w:t>
      </w:r>
      <w:r w:rsidR="00634305">
        <w:t>direct care staff</w:t>
      </w:r>
      <w:r w:rsidRPr="00CA5082">
        <w:t xml:space="preserve"> </w:t>
      </w:r>
    </w:p>
    <w:p w:rsidR="00CA5082" w:rsidRPr="0070113D" w:rsidRDefault="00CA5082" w:rsidP="00CA5082">
      <w:pPr>
        <w:pStyle w:val="Blockquote"/>
        <w:spacing w:before="0" w:after="0"/>
        <w:ind w:left="1080"/>
        <w:rPr>
          <w:sz w:val="16"/>
          <w:szCs w:val="16"/>
        </w:rPr>
      </w:pPr>
    </w:p>
    <w:p w:rsidR="00CA5082" w:rsidRPr="00CA5082" w:rsidRDefault="00CA5082" w:rsidP="00AC67DB">
      <w:pPr>
        <w:pStyle w:val="Blockquote"/>
        <w:numPr>
          <w:ilvl w:val="0"/>
          <w:numId w:val="2"/>
        </w:numPr>
        <w:tabs>
          <w:tab w:val="clear" w:pos="1800"/>
        </w:tabs>
        <w:spacing w:before="0" w:after="0"/>
        <w:ind w:left="1440"/>
      </w:pPr>
      <w:r w:rsidRPr="00CA5082">
        <w:t xml:space="preserve">Frequently the direct </w:t>
      </w:r>
      <w:r w:rsidR="00F456E8">
        <w:t>care staff</w:t>
      </w:r>
      <w:r w:rsidRPr="00CA5082">
        <w:t xml:space="preserve"> is the first to notice a change in the individual’s ability to eat or swallow safely, </w:t>
      </w:r>
      <w:r w:rsidR="00F456E8">
        <w:t>or</w:t>
      </w:r>
      <w:r w:rsidRPr="00CA5082">
        <w:t xml:space="preserve"> other risk factors for dysphagia. When a change is observed, the direct </w:t>
      </w:r>
      <w:r w:rsidR="00F456E8">
        <w:t>care</w:t>
      </w:r>
      <w:r w:rsidRPr="00CA5082">
        <w:t xml:space="preserve"> staff should take the appropriate action based on the type of dysphagia risk observed, the instructions in the individual’s support plan and as stated in the qualified agency’s dysphagia policy. Actions may include, but are not limited to</w:t>
      </w:r>
      <w:r w:rsidR="00AC67DB">
        <w:t>,</w:t>
      </w:r>
      <w:r w:rsidRPr="00CA5082">
        <w:t xml:space="preserve"> the following:</w:t>
      </w:r>
    </w:p>
    <w:p w:rsidR="00CA5082" w:rsidRPr="00CA5082" w:rsidRDefault="00232B91" w:rsidP="005E36EB">
      <w:pPr>
        <w:pStyle w:val="Blockquote"/>
        <w:numPr>
          <w:ilvl w:val="0"/>
          <w:numId w:val="6"/>
        </w:numPr>
        <w:tabs>
          <w:tab w:val="clear" w:pos="2520"/>
        </w:tabs>
        <w:spacing w:before="0"/>
        <w:ind w:left="1800"/>
      </w:pPr>
      <w:r w:rsidRPr="00232B91">
        <w:lastRenderedPageBreak/>
        <w:t>Performing a</w:t>
      </w:r>
      <w:r w:rsidR="00CA5082" w:rsidRPr="00232B91">
        <w:t xml:space="preserve">bdominal </w:t>
      </w:r>
      <w:r w:rsidRPr="00232B91">
        <w:t>t</w:t>
      </w:r>
      <w:r w:rsidR="00CA5082" w:rsidRPr="00232B91">
        <w:t>hrusts</w:t>
      </w:r>
      <w:r>
        <w:t xml:space="preserve"> </w:t>
      </w:r>
      <w:r w:rsidR="00CA5082" w:rsidRPr="00CA5082">
        <w:t xml:space="preserve">in </w:t>
      </w:r>
      <w:r w:rsidR="00F456E8">
        <w:t xml:space="preserve">an </w:t>
      </w:r>
      <w:r w:rsidR="00CA5082" w:rsidRPr="00CA5082">
        <w:t xml:space="preserve">instance of choking.  </w:t>
      </w:r>
    </w:p>
    <w:p w:rsidR="00CA5082" w:rsidRPr="00CA5082" w:rsidRDefault="00CA5082" w:rsidP="005E36EB">
      <w:pPr>
        <w:pStyle w:val="Blockquote"/>
        <w:numPr>
          <w:ilvl w:val="0"/>
          <w:numId w:val="6"/>
        </w:numPr>
        <w:tabs>
          <w:tab w:val="clear" w:pos="2520"/>
        </w:tabs>
        <w:spacing w:before="0"/>
        <w:ind w:left="1800"/>
      </w:pPr>
      <w:r w:rsidRPr="00CA5082">
        <w:t>Calling 911 for choking incidents.</w:t>
      </w:r>
    </w:p>
    <w:p w:rsidR="00CA5082" w:rsidRPr="00CA5082" w:rsidRDefault="00F456E8" w:rsidP="005E36EB">
      <w:pPr>
        <w:pStyle w:val="Blockquote"/>
        <w:numPr>
          <w:ilvl w:val="0"/>
          <w:numId w:val="6"/>
        </w:numPr>
        <w:tabs>
          <w:tab w:val="clear" w:pos="2520"/>
        </w:tabs>
        <w:spacing w:before="0"/>
        <w:ind w:left="1800"/>
      </w:pPr>
      <w:r>
        <w:t>Notifying</w:t>
      </w:r>
      <w:r w:rsidR="00CA5082" w:rsidRPr="00CA5082">
        <w:t xml:space="preserve"> </w:t>
      </w:r>
      <w:r w:rsidR="00CA5082" w:rsidRPr="000B3D37">
        <w:t xml:space="preserve">the </w:t>
      </w:r>
      <w:r w:rsidRPr="000B3D37">
        <w:t>registered nurse (</w:t>
      </w:r>
      <w:r w:rsidR="00CA5082" w:rsidRPr="000B3D37">
        <w:t>RN</w:t>
      </w:r>
      <w:r w:rsidRPr="000B3D37">
        <w:t>)</w:t>
      </w:r>
      <w:r w:rsidR="000B3D37">
        <w:t xml:space="preserve"> or the nurse-on-call</w:t>
      </w:r>
      <w:r>
        <w:t>,</w:t>
      </w:r>
      <w:r w:rsidR="00CA5082" w:rsidRPr="00CA5082">
        <w:t xml:space="preserve"> immediately for incidents</w:t>
      </w:r>
      <w:r>
        <w:t xml:space="preserve"> called into 911,</w:t>
      </w:r>
      <w:r w:rsidR="00CA5082" w:rsidRPr="00CA5082">
        <w:t xml:space="preserve"> or as soon as possible for other observations of dysphagia risk</w:t>
      </w:r>
      <w:r>
        <w:t>.</w:t>
      </w:r>
    </w:p>
    <w:p w:rsidR="00CA5082" w:rsidRPr="00CA5082" w:rsidRDefault="00CA5082" w:rsidP="005E36EB">
      <w:pPr>
        <w:pStyle w:val="Blockquote"/>
        <w:numPr>
          <w:ilvl w:val="0"/>
          <w:numId w:val="6"/>
        </w:numPr>
        <w:tabs>
          <w:tab w:val="clear" w:pos="2520"/>
        </w:tabs>
        <w:spacing w:before="0"/>
        <w:ind w:left="1800"/>
      </w:pPr>
      <w:r w:rsidRPr="00CA5082">
        <w:t>Increas</w:t>
      </w:r>
      <w:r w:rsidR="00F456E8">
        <w:t>ing</w:t>
      </w:r>
      <w:r w:rsidRPr="00CA5082">
        <w:t xml:space="preserve"> observation </w:t>
      </w:r>
      <w:r w:rsidR="00F456E8">
        <w:t xml:space="preserve">of the individual </w:t>
      </w:r>
      <w:r w:rsidRPr="00CA5082">
        <w:t xml:space="preserve">especially </w:t>
      </w:r>
      <w:r w:rsidR="00F456E8">
        <w:t xml:space="preserve">while </w:t>
      </w:r>
      <w:r w:rsidRPr="00CA5082">
        <w:t>eating, drinking or taking medication.</w:t>
      </w:r>
    </w:p>
    <w:p w:rsidR="00CA5082" w:rsidRPr="00CA5082" w:rsidRDefault="00CA5082" w:rsidP="005E36EB">
      <w:pPr>
        <w:pStyle w:val="Blockquote"/>
        <w:numPr>
          <w:ilvl w:val="0"/>
          <w:numId w:val="6"/>
        </w:numPr>
        <w:tabs>
          <w:tab w:val="clear" w:pos="2520"/>
        </w:tabs>
        <w:spacing w:before="0"/>
        <w:ind w:left="1800"/>
      </w:pPr>
      <w:r w:rsidRPr="00CA5082">
        <w:t xml:space="preserve">Cutting food into smaller pieces until a safe eating assessment </w:t>
      </w:r>
      <w:r w:rsidR="00F456E8">
        <w:t xml:space="preserve">for the individual </w:t>
      </w:r>
      <w:r w:rsidRPr="00CA5082">
        <w:t>can be completed by a clinician.</w:t>
      </w:r>
    </w:p>
    <w:p w:rsidR="00CA5082" w:rsidRPr="00CA5082" w:rsidRDefault="00F456E8" w:rsidP="005E36EB">
      <w:pPr>
        <w:pStyle w:val="Blockquote"/>
        <w:numPr>
          <w:ilvl w:val="0"/>
          <w:numId w:val="6"/>
        </w:numPr>
        <w:tabs>
          <w:tab w:val="clear" w:pos="2520"/>
        </w:tabs>
        <w:spacing w:before="0"/>
        <w:ind w:left="1800"/>
      </w:pPr>
      <w:r>
        <w:t>N</w:t>
      </w:r>
      <w:r w:rsidR="00CA5082" w:rsidRPr="00CA5082">
        <w:t>otif</w:t>
      </w:r>
      <w:r>
        <w:t>ying promptly</w:t>
      </w:r>
      <w:r w:rsidR="00CA5082" w:rsidRPr="00CA5082">
        <w:t xml:space="preserve"> other appropriate </w:t>
      </w:r>
      <w:r w:rsidR="00634305">
        <w:t xml:space="preserve">agency </w:t>
      </w:r>
      <w:r w:rsidR="00CA5082" w:rsidRPr="00CA5082">
        <w:t xml:space="preserve">personnel (i.e., supervisor, SLP, OT) </w:t>
      </w:r>
      <w:r>
        <w:t xml:space="preserve">as </w:t>
      </w:r>
      <w:r w:rsidR="00CA5082" w:rsidRPr="00CA5082">
        <w:t xml:space="preserve">established </w:t>
      </w:r>
      <w:r>
        <w:t>in the qualified provider’s</w:t>
      </w:r>
      <w:r w:rsidR="00CA5082" w:rsidRPr="00CA5082">
        <w:t xml:space="preserve"> policy.</w:t>
      </w:r>
    </w:p>
    <w:p w:rsidR="00CA5082" w:rsidRPr="00CA5082" w:rsidRDefault="00CA5082" w:rsidP="00AC67DB">
      <w:pPr>
        <w:pStyle w:val="Blockquote"/>
        <w:numPr>
          <w:ilvl w:val="0"/>
          <w:numId w:val="6"/>
        </w:numPr>
        <w:tabs>
          <w:tab w:val="clear" w:pos="2520"/>
        </w:tabs>
        <w:spacing w:before="0" w:after="0"/>
        <w:ind w:left="1800"/>
      </w:pPr>
      <w:r w:rsidRPr="00CA5082">
        <w:t>Following the identified qualified provider</w:t>
      </w:r>
      <w:r w:rsidR="00634305">
        <w:t>’s</w:t>
      </w:r>
      <w:r w:rsidRPr="00CA5082">
        <w:t xml:space="preserve"> documentation reporting process (Refer to Attachment A, example of Swallowing Episode Report Form).  </w:t>
      </w:r>
    </w:p>
    <w:p w:rsidR="00CA5082" w:rsidRPr="0070113D" w:rsidRDefault="00CA5082" w:rsidP="00CA5082">
      <w:pPr>
        <w:pStyle w:val="Blockquote"/>
        <w:spacing w:before="0" w:after="0"/>
        <w:ind w:left="2520"/>
        <w:rPr>
          <w:sz w:val="16"/>
          <w:szCs w:val="16"/>
        </w:rPr>
      </w:pPr>
    </w:p>
    <w:p w:rsidR="00CA5082" w:rsidRPr="00CA5082" w:rsidRDefault="00CA5082" w:rsidP="00CA5082">
      <w:pPr>
        <w:pStyle w:val="Blockquote"/>
        <w:numPr>
          <w:ilvl w:val="0"/>
          <w:numId w:val="4"/>
        </w:numPr>
        <w:spacing w:before="0" w:after="0"/>
      </w:pPr>
      <w:r w:rsidRPr="00CA5082">
        <w:t xml:space="preserve">Connecticut Level of Need (LON) </w:t>
      </w:r>
      <w:r w:rsidR="002501EA">
        <w:t xml:space="preserve">Assessment </w:t>
      </w:r>
      <w:r w:rsidRPr="00CA5082">
        <w:t>and Screening Tool</w:t>
      </w:r>
    </w:p>
    <w:p w:rsidR="00CA5082" w:rsidRPr="0070113D" w:rsidRDefault="00CA5082" w:rsidP="00CA5082">
      <w:pPr>
        <w:pStyle w:val="Blockquote"/>
        <w:spacing w:before="0" w:after="0"/>
        <w:ind w:left="720"/>
        <w:rPr>
          <w:sz w:val="16"/>
          <w:szCs w:val="16"/>
        </w:rPr>
      </w:pPr>
    </w:p>
    <w:p w:rsidR="00CA5082" w:rsidRPr="00CA5082" w:rsidRDefault="00CA5082" w:rsidP="005E36EB">
      <w:pPr>
        <w:pStyle w:val="Blockquote"/>
        <w:numPr>
          <w:ilvl w:val="3"/>
          <w:numId w:val="30"/>
        </w:numPr>
        <w:spacing w:before="0"/>
        <w:ind w:left="1440"/>
      </w:pPr>
      <w:r w:rsidRPr="00CA5082">
        <w:t>This assessment and screening tool documents the presence of diagnosed medical conditions and prescribed treatments as well as certain behaviors that may place an individual at increased risk for choking or other swallowing concerns.</w:t>
      </w:r>
    </w:p>
    <w:p w:rsidR="00CA5082" w:rsidRPr="00CA5082" w:rsidRDefault="00CA5082" w:rsidP="008E10F0">
      <w:pPr>
        <w:pStyle w:val="Blockquote"/>
        <w:numPr>
          <w:ilvl w:val="3"/>
          <w:numId w:val="30"/>
        </w:numPr>
        <w:spacing w:before="0" w:after="0"/>
        <w:ind w:left="1440"/>
      </w:pPr>
      <w:r w:rsidRPr="00CA5082">
        <w:t>When conditions or behaviors that increase an individual’s risk of dysphagia are noted during th</w:t>
      </w:r>
      <w:r w:rsidR="00634305">
        <w:t>e</w:t>
      </w:r>
      <w:r w:rsidRPr="00CA5082">
        <w:t xml:space="preserve"> LON assessment and screening</w:t>
      </w:r>
      <w:r w:rsidR="00634305">
        <w:t xml:space="preserve"> process</w:t>
      </w:r>
      <w:r w:rsidRPr="00CA5082">
        <w:t>, the need for assessment and further evaluation shall be documented</w:t>
      </w:r>
      <w:r w:rsidR="002501EA">
        <w:t xml:space="preserve"> by the individual’s case manager or a qualified intellectual disabilities professional (QIDP) for individuals residing in an Intermediate Care Facility for Individuals with Intellectual Disabilities (ICF/IID)</w:t>
      </w:r>
      <w:r w:rsidRPr="00CA5082">
        <w:t xml:space="preserve">.    </w:t>
      </w:r>
    </w:p>
    <w:p w:rsidR="00CA5082" w:rsidRPr="0070113D" w:rsidRDefault="00CA5082" w:rsidP="00CA5082">
      <w:pPr>
        <w:pStyle w:val="Blockquote"/>
        <w:spacing w:before="0" w:after="0"/>
        <w:ind w:left="0"/>
        <w:rPr>
          <w:sz w:val="16"/>
          <w:szCs w:val="16"/>
        </w:rPr>
      </w:pPr>
    </w:p>
    <w:p w:rsidR="00CA5082" w:rsidRPr="00CA5082" w:rsidRDefault="00CA5082" w:rsidP="00CA5082">
      <w:pPr>
        <w:pStyle w:val="Blockquote"/>
        <w:numPr>
          <w:ilvl w:val="0"/>
          <w:numId w:val="4"/>
        </w:numPr>
        <w:spacing w:before="0" w:after="0"/>
        <w:jc w:val="both"/>
      </w:pPr>
      <w:r w:rsidRPr="00CA5082">
        <w:t xml:space="preserve">Nursing or Community </w:t>
      </w:r>
      <w:r w:rsidR="001D262D">
        <w:t>Health</w:t>
      </w:r>
      <w:r w:rsidRPr="00CA5082">
        <w:t xml:space="preserve"> Care Provider Assessment </w:t>
      </w:r>
    </w:p>
    <w:p w:rsidR="00CA5082" w:rsidRPr="0070113D" w:rsidRDefault="00CA5082" w:rsidP="00CA5082">
      <w:pPr>
        <w:pStyle w:val="Blockquote"/>
        <w:spacing w:before="0" w:after="0"/>
        <w:ind w:left="1080"/>
        <w:jc w:val="both"/>
        <w:rPr>
          <w:sz w:val="16"/>
          <w:szCs w:val="16"/>
        </w:rPr>
      </w:pPr>
    </w:p>
    <w:p w:rsidR="00CA5082" w:rsidRDefault="00CA5082" w:rsidP="00D03B7C">
      <w:pPr>
        <w:numPr>
          <w:ilvl w:val="0"/>
          <w:numId w:val="9"/>
        </w:numPr>
        <w:ind w:left="1440"/>
        <w:rPr>
          <w:rFonts w:ascii="Times New Roman" w:hAnsi="Times New Roman"/>
          <w:szCs w:val="24"/>
        </w:rPr>
      </w:pPr>
      <w:r w:rsidRPr="00CA5082">
        <w:rPr>
          <w:rFonts w:ascii="Times New Roman" w:hAnsi="Times New Roman"/>
          <w:szCs w:val="24"/>
        </w:rPr>
        <w:t>A comprehensive nursing assessment, using the Community Health and Safety Assessment, may identify health concerns or other health</w:t>
      </w:r>
      <w:r w:rsidR="00634305">
        <w:rPr>
          <w:rFonts w:ascii="Times New Roman" w:hAnsi="Times New Roman"/>
          <w:szCs w:val="24"/>
        </w:rPr>
        <w:t>-</w:t>
      </w:r>
      <w:r w:rsidRPr="00CA5082">
        <w:rPr>
          <w:rFonts w:ascii="Times New Roman" w:hAnsi="Times New Roman"/>
          <w:szCs w:val="24"/>
        </w:rPr>
        <w:t>related issues that place an individual at increased swallowing risk. The individual’s assessment shall evaluate the effect of prescribed medication on the individual’s ability to swallow</w:t>
      </w:r>
      <w:r w:rsidR="006E23FB">
        <w:rPr>
          <w:rFonts w:ascii="Times New Roman" w:hAnsi="Times New Roman"/>
          <w:szCs w:val="24"/>
        </w:rPr>
        <w:t>,</w:t>
      </w:r>
      <w:r w:rsidRPr="00CA5082">
        <w:rPr>
          <w:rFonts w:ascii="Times New Roman" w:hAnsi="Times New Roman"/>
          <w:szCs w:val="24"/>
        </w:rPr>
        <w:t xml:space="preserve"> as many medications </w:t>
      </w:r>
      <w:r w:rsidR="00634305">
        <w:rPr>
          <w:rFonts w:ascii="Times New Roman" w:hAnsi="Times New Roman"/>
          <w:szCs w:val="24"/>
        </w:rPr>
        <w:t>may</w:t>
      </w:r>
      <w:r w:rsidRPr="00CA5082">
        <w:rPr>
          <w:rFonts w:ascii="Times New Roman" w:hAnsi="Times New Roman"/>
          <w:szCs w:val="24"/>
        </w:rPr>
        <w:t xml:space="preserve"> cause dysphagia, including</w:t>
      </w:r>
      <w:r w:rsidR="006E23FB">
        <w:rPr>
          <w:rFonts w:ascii="Times New Roman" w:hAnsi="Times New Roman"/>
          <w:szCs w:val="24"/>
        </w:rPr>
        <w:t>,</w:t>
      </w:r>
      <w:r w:rsidRPr="00CA5082">
        <w:rPr>
          <w:rFonts w:ascii="Times New Roman" w:hAnsi="Times New Roman"/>
          <w:szCs w:val="24"/>
        </w:rPr>
        <w:t xml:space="preserve"> but not limited to:</w:t>
      </w:r>
    </w:p>
    <w:p w:rsidR="00D03B7C" w:rsidRPr="00D03B7C" w:rsidRDefault="00D03B7C" w:rsidP="00D03B7C">
      <w:pPr>
        <w:rPr>
          <w:rFonts w:ascii="Times New Roman" w:hAnsi="Times New Roman"/>
          <w:sz w:val="8"/>
          <w:szCs w:val="8"/>
        </w:rPr>
      </w:pPr>
    </w:p>
    <w:p w:rsidR="00CA5082" w:rsidRDefault="00CA5082" w:rsidP="00D03B7C">
      <w:pPr>
        <w:pStyle w:val="ListParagraph"/>
        <w:numPr>
          <w:ilvl w:val="3"/>
          <w:numId w:val="32"/>
        </w:numPr>
        <w:ind w:left="1800"/>
      </w:pPr>
      <w:r w:rsidRPr="008E10F0">
        <w:t xml:space="preserve">Antipsychotic or </w:t>
      </w:r>
      <w:r w:rsidR="006E23FB">
        <w:t>n</w:t>
      </w:r>
      <w:r w:rsidRPr="008E10F0">
        <w:t>euroleptic medications</w:t>
      </w:r>
      <w:r w:rsidR="00AD63A0">
        <w:t>.</w:t>
      </w:r>
    </w:p>
    <w:p w:rsidR="00D03B7C" w:rsidRPr="00D03B7C" w:rsidRDefault="00D03B7C" w:rsidP="00D03B7C">
      <w:pPr>
        <w:rPr>
          <w:sz w:val="8"/>
          <w:szCs w:val="8"/>
        </w:rPr>
      </w:pPr>
    </w:p>
    <w:p w:rsidR="00D03B7C" w:rsidRDefault="00CA5082" w:rsidP="008E10F0">
      <w:pPr>
        <w:pStyle w:val="ListParagraph"/>
        <w:numPr>
          <w:ilvl w:val="3"/>
          <w:numId w:val="32"/>
        </w:numPr>
        <w:ind w:left="1800"/>
      </w:pPr>
      <w:r w:rsidRPr="008E10F0">
        <w:t>Anticholinergics</w:t>
      </w:r>
      <w:r w:rsidR="00AD63A0">
        <w:t>.</w:t>
      </w:r>
    </w:p>
    <w:p w:rsidR="00CA5082" w:rsidRPr="00D03B7C" w:rsidRDefault="00CA5082" w:rsidP="00D03B7C">
      <w:pPr>
        <w:rPr>
          <w:sz w:val="8"/>
          <w:szCs w:val="8"/>
        </w:rPr>
      </w:pPr>
      <w:r w:rsidRPr="00D03B7C">
        <w:rPr>
          <w:sz w:val="8"/>
          <w:szCs w:val="8"/>
        </w:rPr>
        <w:t xml:space="preserve"> </w:t>
      </w:r>
    </w:p>
    <w:p w:rsidR="00CA5082" w:rsidRDefault="00CA5082" w:rsidP="008E10F0">
      <w:pPr>
        <w:pStyle w:val="ListParagraph"/>
        <w:numPr>
          <w:ilvl w:val="3"/>
          <w:numId w:val="32"/>
        </w:numPr>
        <w:ind w:left="1800"/>
      </w:pPr>
      <w:r w:rsidRPr="008E10F0">
        <w:t xml:space="preserve">Medications that cause dry mouth (xerostomia) such as </w:t>
      </w:r>
      <w:r w:rsidR="006E23FB">
        <w:t>a</w:t>
      </w:r>
      <w:r w:rsidRPr="008E10F0">
        <w:t>ntiepileptic</w:t>
      </w:r>
      <w:r w:rsidR="008E10F0">
        <w:t xml:space="preserve"> </w:t>
      </w:r>
      <w:r w:rsidRPr="008E10F0">
        <w:t xml:space="preserve">medications, </w:t>
      </w:r>
      <w:r w:rsidR="006E23FB">
        <w:t>a</w:t>
      </w:r>
      <w:r w:rsidRPr="008E10F0">
        <w:t>nti</w:t>
      </w:r>
      <w:r w:rsidR="006E23FB">
        <w:t>-</w:t>
      </w:r>
      <w:r w:rsidRPr="008E10F0">
        <w:t xml:space="preserve">anxiety medications, </w:t>
      </w:r>
      <w:r w:rsidR="006E23FB">
        <w:t>n</w:t>
      </w:r>
      <w:r w:rsidRPr="008E10F0">
        <w:t xml:space="preserve">arcotics and </w:t>
      </w:r>
      <w:r w:rsidR="006E23FB">
        <w:t>m</w:t>
      </w:r>
      <w:r w:rsidRPr="008E10F0">
        <w:t xml:space="preserve">uscle </w:t>
      </w:r>
      <w:r w:rsidR="006E23FB">
        <w:t>r</w:t>
      </w:r>
      <w:r w:rsidRPr="008E10F0">
        <w:t>elaxants.</w:t>
      </w:r>
    </w:p>
    <w:p w:rsidR="00D03B7C" w:rsidRPr="00D03B7C" w:rsidRDefault="00D03B7C" w:rsidP="00D03B7C">
      <w:pPr>
        <w:rPr>
          <w:sz w:val="8"/>
          <w:szCs w:val="8"/>
        </w:rPr>
      </w:pPr>
    </w:p>
    <w:p w:rsidR="00CA5082" w:rsidRDefault="00CA5082" w:rsidP="008E10F0">
      <w:pPr>
        <w:pStyle w:val="ListParagraph"/>
        <w:numPr>
          <w:ilvl w:val="3"/>
          <w:numId w:val="32"/>
        </w:numPr>
        <w:ind w:left="1800"/>
      </w:pPr>
      <w:r w:rsidRPr="008E10F0">
        <w:t xml:space="preserve">Medications that depress the </w:t>
      </w:r>
      <w:r w:rsidR="006E23FB">
        <w:t>c</w:t>
      </w:r>
      <w:r w:rsidRPr="008E10F0">
        <w:t xml:space="preserve">entral </w:t>
      </w:r>
      <w:r w:rsidR="006E23FB">
        <w:t>n</w:t>
      </w:r>
      <w:r w:rsidRPr="008E10F0">
        <w:t xml:space="preserve">ervous </w:t>
      </w:r>
      <w:r w:rsidR="006E23FB">
        <w:t>s</w:t>
      </w:r>
      <w:r w:rsidRPr="008E10F0">
        <w:t xml:space="preserve">ystem (CNS </w:t>
      </w:r>
      <w:r w:rsidR="006E23FB">
        <w:t>d</w:t>
      </w:r>
      <w:r w:rsidRPr="008E10F0">
        <w:t>epressants)</w:t>
      </w:r>
      <w:r w:rsidR="00AD63A0">
        <w:t>.</w:t>
      </w:r>
    </w:p>
    <w:p w:rsidR="00D03B7C" w:rsidRPr="00D03B7C" w:rsidRDefault="00D03B7C" w:rsidP="00D03B7C">
      <w:pPr>
        <w:rPr>
          <w:sz w:val="8"/>
          <w:szCs w:val="8"/>
        </w:rPr>
      </w:pPr>
    </w:p>
    <w:p w:rsidR="00D03B7C" w:rsidRDefault="00CA5082" w:rsidP="00D03B7C">
      <w:pPr>
        <w:pStyle w:val="ListParagraph"/>
        <w:numPr>
          <w:ilvl w:val="3"/>
          <w:numId w:val="32"/>
        </w:numPr>
        <w:ind w:left="1800"/>
      </w:pPr>
      <w:r w:rsidRPr="008E10F0">
        <w:t xml:space="preserve">Medications that can cause esophageal injury, including but not limited to aspirin,  NSAIDs, </w:t>
      </w:r>
      <w:r w:rsidR="006E23FB">
        <w:t>o</w:t>
      </w:r>
      <w:r w:rsidRPr="008E10F0">
        <w:t xml:space="preserve">steoporosis medications, </w:t>
      </w:r>
      <w:r w:rsidR="006E23FB">
        <w:t>i</w:t>
      </w:r>
      <w:r w:rsidRPr="008E10F0">
        <w:t xml:space="preserve">ron containing products, </w:t>
      </w:r>
      <w:r w:rsidR="006E23FB">
        <w:t>b</w:t>
      </w:r>
      <w:r w:rsidRPr="008E10F0">
        <w:t xml:space="preserve">ronchodilators, </w:t>
      </w:r>
      <w:r w:rsidR="006E23FB">
        <w:t>p</w:t>
      </w:r>
      <w:r w:rsidRPr="008E10F0">
        <w:t xml:space="preserve">otassium supplements, </w:t>
      </w:r>
      <w:r w:rsidR="006E23FB">
        <w:t>v</w:t>
      </w:r>
      <w:r w:rsidRPr="008E10F0">
        <w:t xml:space="preserve">itamin C and certain acid-containing </w:t>
      </w:r>
      <w:r w:rsidR="006E23FB">
        <w:t>a</w:t>
      </w:r>
      <w:r w:rsidRPr="008E10F0">
        <w:t>ntibiotics.</w:t>
      </w:r>
    </w:p>
    <w:p w:rsidR="00D03B7C" w:rsidRPr="00D03B7C" w:rsidRDefault="00D03B7C" w:rsidP="00D03B7C">
      <w:pPr>
        <w:rPr>
          <w:sz w:val="8"/>
          <w:szCs w:val="8"/>
        </w:rPr>
      </w:pPr>
    </w:p>
    <w:p w:rsidR="00CA5082" w:rsidRPr="008E10F0" w:rsidRDefault="00CA5082" w:rsidP="008E10F0">
      <w:pPr>
        <w:pStyle w:val="ListParagraph"/>
        <w:numPr>
          <w:ilvl w:val="3"/>
          <w:numId w:val="32"/>
        </w:numPr>
        <w:ind w:left="1800"/>
      </w:pPr>
      <w:r w:rsidRPr="008E10F0">
        <w:t>Local anesthetics used for dental work</w:t>
      </w:r>
      <w:r w:rsidR="00AD63A0">
        <w:t>.</w:t>
      </w:r>
      <w:r w:rsidRPr="008E10F0">
        <w:t xml:space="preserve"> </w:t>
      </w:r>
    </w:p>
    <w:p w:rsidR="00CA5082" w:rsidRPr="00CA5082" w:rsidRDefault="00CA5082" w:rsidP="00CA5082">
      <w:pPr>
        <w:ind w:left="1440"/>
        <w:rPr>
          <w:rFonts w:ascii="Times New Roman" w:hAnsi="Times New Roman"/>
          <w:szCs w:val="24"/>
        </w:rPr>
      </w:pPr>
    </w:p>
    <w:p w:rsidR="00CA5082" w:rsidRDefault="00CA5082" w:rsidP="00D03B7C">
      <w:pPr>
        <w:numPr>
          <w:ilvl w:val="0"/>
          <w:numId w:val="9"/>
        </w:numPr>
        <w:ind w:left="1440"/>
        <w:rPr>
          <w:rFonts w:ascii="Times New Roman" w:hAnsi="Times New Roman"/>
          <w:szCs w:val="24"/>
        </w:rPr>
      </w:pPr>
      <w:r w:rsidRPr="00CA5082">
        <w:rPr>
          <w:rFonts w:ascii="Times New Roman" w:hAnsi="Times New Roman"/>
          <w:szCs w:val="24"/>
        </w:rPr>
        <w:t>Identified dysphagia risks that pose an immediate threat to the individual shall be addressed through immediate action</w:t>
      </w:r>
      <w:r w:rsidR="001D262D">
        <w:rPr>
          <w:rFonts w:ascii="Times New Roman" w:hAnsi="Times New Roman"/>
          <w:szCs w:val="24"/>
        </w:rPr>
        <w:t>s,</w:t>
      </w:r>
      <w:r w:rsidRPr="00CA5082">
        <w:rPr>
          <w:rFonts w:ascii="Times New Roman" w:hAnsi="Times New Roman"/>
          <w:szCs w:val="24"/>
        </w:rPr>
        <w:t xml:space="preserve"> which may include:</w:t>
      </w:r>
    </w:p>
    <w:p w:rsidR="00D03B7C" w:rsidRPr="00D03B7C" w:rsidRDefault="00D03B7C" w:rsidP="00D03B7C">
      <w:pPr>
        <w:rPr>
          <w:rFonts w:ascii="Times New Roman" w:hAnsi="Times New Roman"/>
          <w:sz w:val="8"/>
          <w:szCs w:val="8"/>
        </w:rPr>
      </w:pPr>
    </w:p>
    <w:p w:rsidR="00CA5082" w:rsidRDefault="00CA5082" w:rsidP="008E10F0">
      <w:pPr>
        <w:numPr>
          <w:ilvl w:val="0"/>
          <w:numId w:val="10"/>
        </w:numPr>
        <w:ind w:left="1800"/>
        <w:rPr>
          <w:rFonts w:ascii="Times New Roman" w:hAnsi="Times New Roman"/>
          <w:szCs w:val="24"/>
        </w:rPr>
      </w:pPr>
      <w:r w:rsidRPr="00CA5082">
        <w:rPr>
          <w:rFonts w:ascii="Times New Roman" w:hAnsi="Times New Roman"/>
          <w:szCs w:val="24"/>
        </w:rPr>
        <w:t xml:space="preserve">Notifying an appropriate </w:t>
      </w:r>
      <w:r w:rsidRPr="00A1191B">
        <w:rPr>
          <w:rFonts w:ascii="Times New Roman" w:hAnsi="Times New Roman"/>
          <w:szCs w:val="24"/>
        </w:rPr>
        <w:t>clinician or health care provider</w:t>
      </w:r>
      <w:r w:rsidRPr="00CA5082">
        <w:rPr>
          <w:rFonts w:ascii="Times New Roman" w:hAnsi="Times New Roman"/>
          <w:szCs w:val="24"/>
        </w:rPr>
        <w:t xml:space="preserve"> (Speech Language Pathologist (SLP), Occupational Therapist (OT), </w:t>
      </w:r>
      <w:r w:rsidR="00232B91" w:rsidRPr="00CA5082">
        <w:rPr>
          <w:rFonts w:ascii="Times New Roman" w:hAnsi="Times New Roman"/>
          <w:szCs w:val="24"/>
        </w:rPr>
        <w:t>psychologist</w:t>
      </w:r>
      <w:r w:rsidR="00232B91">
        <w:rPr>
          <w:rFonts w:ascii="Times New Roman" w:hAnsi="Times New Roman"/>
          <w:szCs w:val="24"/>
        </w:rPr>
        <w:t xml:space="preserve"> or b</w:t>
      </w:r>
      <w:r w:rsidR="00232B91" w:rsidRPr="00CA5082">
        <w:rPr>
          <w:rFonts w:ascii="Times New Roman" w:hAnsi="Times New Roman"/>
          <w:szCs w:val="24"/>
        </w:rPr>
        <w:t>ehaviorist</w:t>
      </w:r>
      <w:r w:rsidRPr="00CA5082">
        <w:rPr>
          <w:rFonts w:ascii="Times New Roman" w:hAnsi="Times New Roman"/>
          <w:szCs w:val="24"/>
        </w:rPr>
        <w:t xml:space="preserve">, </w:t>
      </w:r>
      <w:r w:rsidR="00232B91" w:rsidRPr="00A1191B">
        <w:rPr>
          <w:rFonts w:ascii="Times New Roman" w:hAnsi="Times New Roman"/>
          <w:szCs w:val="24"/>
        </w:rPr>
        <w:t>primary care provider</w:t>
      </w:r>
      <w:r w:rsidR="00232B91" w:rsidRPr="00CA5082">
        <w:rPr>
          <w:rFonts w:ascii="Times New Roman" w:hAnsi="Times New Roman"/>
          <w:szCs w:val="24"/>
        </w:rPr>
        <w:t xml:space="preserve"> </w:t>
      </w:r>
      <w:r w:rsidRPr="00CA5082">
        <w:rPr>
          <w:rFonts w:ascii="Times New Roman" w:hAnsi="Times New Roman"/>
          <w:szCs w:val="24"/>
        </w:rPr>
        <w:t xml:space="preserve">(PCP), </w:t>
      </w:r>
      <w:r w:rsidR="00232B91" w:rsidRPr="00CA5082">
        <w:rPr>
          <w:rFonts w:ascii="Times New Roman" w:hAnsi="Times New Roman"/>
          <w:szCs w:val="24"/>
        </w:rPr>
        <w:t>psychiatrist</w:t>
      </w:r>
      <w:r w:rsidR="00232B91">
        <w:rPr>
          <w:rFonts w:ascii="Times New Roman" w:hAnsi="Times New Roman"/>
          <w:szCs w:val="24"/>
        </w:rPr>
        <w:t>,</w:t>
      </w:r>
      <w:r w:rsidR="00232B91" w:rsidRPr="00CA5082">
        <w:rPr>
          <w:rFonts w:ascii="Times New Roman" w:hAnsi="Times New Roman"/>
          <w:szCs w:val="24"/>
        </w:rPr>
        <w:t xml:space="preserve"> </w:t>
      </w:r>
      <w:r w:rsidR="00232B91" w:rsidRPr="00A1191B">
        <w:rPr>
          <w:rFonts w:ascii="Times New Roman" w:hAnsi="Times New Roman"/>
          <w:szCs w:val="24"/>
        </w:rPr>
        <w:t>or dentist</w:t>
      </w:r>
      <w:r w:rsidRPr="00CA5082">
        <w:rPr>
          <w:rFonts w:ascii="Times New Roman" w:hAnsi="Times New Roman"/>
          <w:szCs w:val="24"/>
        </w:rPr>
        <w:t>).</w:t>
      </w:r>
    </w:p>
    <w:p w:rsidR="00D03B7C" w:rsidRPr="00D03B7C" w:rsidRDefault="00D03B7C" w:rsidP="00D03B7C">
      <w:pPr>
        <w:rPr>
          <w:rFonts w:ascii="Times New Roman" w:hAnsi="Times New Roman"/>
          <w:sz w:val="8"/>
          <w:szCs w:val="8"/>
        </w:rPr>
      </w:pPr>
    </w:p>
    <w:p w:rsidR="00CA5082" w:rsidRDefault="00CA5082" w:rsidP="008E10F0">
      <w:pPr>
        <w:numPr>
          <w:ilvl w:val="0"/>
          <w:numId w:val="10"/>
        </w:numPr>
        <w:ind w:left="1800"/>
        <w:rPr>
          <w:rFonts w:ascii="Times New Roman" w:hAnsi="Times New Roman"/>
          <w:szCs w:val="24"/>
        </w:rPr>
      </w:pPr>
      <w:r w:rsidRPr="00CA5082">
        <w:rPr>
          <w:rFonts w:ascii="Times New Roman" w:hAnsi="Times New Roman"/>
          <w:szCs w:val="24"/>
        </w:rPr>
        <w:t xml:space="preserve">Temporarily modifying food and liquid consistency until a </w:t>
      </w:r>
      <w:r w:rsidR="00A1191B">
        <w:rPr>
          <w:rFonts w:ascii="Times New Roman" w:hAnsi="Times New Roman"/>
          <w:szCs w:val="24"/>
        </w:rPr>
        <w:t xml:space="preserve">licensed </w:t>
      </w:r>
      <w:r w:rsidRPr="00A1191B">
        <w:rPr>
          <w:rFonts w:ascii="Times New Roman" w:hAnsi="Times New Roman"/>
          <w:szCs w:val="24"/>
        </w:rPr>
        <w:t>practitioner’s order</w:t>
      </w:r>
      <w:r w:rsidRPr="00CA5082">
        <w:rPr>
          <w:rFonts w:ascii="Times New Roman" w:hAnsi="Times New Roman"/>
          <w:szCs w:val="24"/>
        </w:rPr>
        <w:t xml:space="preserve"> is obtained</w:t>
      </w:r>
      <w:r w:rsidR="00D03B7C">
        <w:rPr>
          <w:rFonts w:ascii="Times New Roman" w:hAnsi="Times New Roman"/>
          <w:szCs w:val="24"/>
        </w:rPr>
        <w:t>.</w:t>
      </w:r>
    </w:p>
    <w:p w:rsidR="00D03B7C" w:rsidRPr="00D03B7C" w:rsidRDefault="00D03B7C" w:rsidP="00D03B7C">
      <w:pPr>
        <w:rPr>
          <w:rFonts w:ascii="Times New Roman" w:hAnsi="Times New Roman"/>
          <w:sz w:val="8"/>
          <w:szCs w:val="8"/>
        </w:rPr>
      </w:pPr>
    </w:p>
    <w:p w:rsidR="00CA5082" w:rsidRDefault="00CA5082" w:rsidP="008E10F0">
      <w:pPr>
        <w:numPr>
          <w:ilvl w:val="0"/>
          <w:numId w:val="10"/>
        </w:numPr>
        <w:ind w:left="1800"/>
        <w:rPr>
          <w:rFonts w:ascii="Times New Roman" w:hAnsi="Times New Roman"/>
          <w:szCs w:val="24"/>
        </w:rPr>
      </w:pPr>
      <w:r w:rsidRPr="00CA5082">
        <w:rPr>
          <w:rFonts w:ascii="Times New Roman" w:hAnsi="Times New Roman"/>
          <w:szCs w:val="24"/>
        </w:rPr>
        <w:t>Initiating temporary positioning requirements for an individual when he or she is eating, drinking or taking medication for a period following the identification of risks of dysphagia.</w:t>
      </w:r>
    </w:p>
    <w:p w:rsidR="00D03B7C" w:rsidRPr="00D03B7C" w:rsidRDefault="00D03B7C" w:rsidP="00D03B7C">
      <w:pPr>
        <w:rPr>
          <w:rFonts w:ascii="Times New Roman" w:hAnsi="Times New Roman"/>
          <w:sz w:val="8"/>
          <w:szCs w:val="8"/>
        </w:rPr>
      </w:pPr>
    </w:p>
    <w:p w:rsidR="00CA5082" w:rsidRPr="00CA5082" w:rsidRDefault="00CA5082" w:rsidP="008E10F0">
      <w:pPr>
        <w:numPr>
          <w:ilvl w:val="0"/>
          <w:numId w:val="10"/>
        </w:numPr>
        <w:ind w:left="1800"/>
        <w:rPr>
          <w:rFonts w:ascii="Times New Roman" w:hAnsi="Times New Roman"/>
          <w:szCs w:val="24"/>
        </w:rPr>
      </w:pPr>
      <w:r w:rsidRPr="00CA5082">
        <w:rPr>
          <w:rFonts w:ascii="Times New Roman" w:hAnsi="Times New Roman"/>
          <w:szCs w:val="24"/>
        </w:rPr>
        <w:t>Requesting closer supervision of the individual during specific times.</w:t>
      </w:r>
    </w:p>
    <w:p w:rsidR="00CA5082" w:rsidRPr="00D03B7C" w:rsidRDefault="00CA5082" w:rsidP="00CA5082">
      <w:pPr>
        <w:ind w:left="1800"/>
        <w:rPr>
          <w:rFonts w:ascii="Times New Roman" w:hAnsi="Times New Roman"/>
          <w:sz w:val="16"/>
          <w:szCs w:val="16"/>
        </w:rPr>
      </w:pPr>
    </w:p>
    <w:p w:rsidR="00CA5082" w:rsidRPr="00CA5082" w:rsidRDefault="00CA5082" w:rsidP="008E10F0">
      <w:pPr>
        <w:numPr>
          <w:ilvl w:val="0"/>
          <w:numId w:val="9"/>
        </w:numPr>
        <w:ind w:left="1440"/>
        <w:rPr>
          <w:rFonts w:ascii="Times New Roman" w:hAnsi="Times New Roman"/>
          <w:szCs w:val="24"/>
        </w:rPr>
      </w:pPr>
      <w:r w:rsidRPr="00CA5082">
        <w:rPr>
          <w:rFonts w:ascii="Times New Roman" w:hAnsi="Times New Roman"/>
          <w:szCs w:val="24"/>
        </w:rPr>
        <w:t xml:space="preserve">An individual’s identified dysphagia risks shall be reported to </w:t>
      </w:r>
      <w:r w:rsidR="00232B91">
        <w:rPr>
          <w:rFonts w:ascii="Times New Roman" w:hAnsi="Times New Roman"/>
          <w:szCs w:val="24"/>
        </w:rPr>
        <w:t xml:space="preserve">his or her </w:t>
      </w:r>
      <w:r w:rsidRPr="00AD63A0">
        <w:rPr>
          <w:rFonts w:ascii="Times New Roman" w:hAnsi="Times New Roman"/>
          <w:szCs w:val="24"/>
        </w:rPr>
        <w:t>primary care provider</w:t>
      </w:r>
      <w:r w:rsidRPr="00CA5082">
        <w:rPr>
          <w:rFonts w:ascii="Times New Roman" w:hAnsi="Times New Roman"/>
          <w:szCs w:val="24"/>
        </w:rPr>
        <w:t xml:space="preserve"> (PCP) for determination of need for new </w:t>
      </w:r>
      <w:r w:rsidR="00AD63A0">
        <w:rPr>
          <w:rFonts w:ascii="Times New Roman" w:hAnsi="Times New Roman"/>
          <w:szCs w:val="24"/>
        </w:rPr>
        <w:t xml:space="preserve">licensed </w:t>
      </w:r>
      <w:r w:rsidRPr="00AD63A0">
        <w:rPr>
          <w:rFonts w:ascii="Times New Roman" w:hAnsi="Times New Roman"/>
          <w:szCs w:val="24"/>
        </w:rPr>
        <w:t>practitioner’s orders</w:t>
      </w:r>
      <w:r w:rsidRPr="00CA5082">
        <w:rPr>
          <w:rFonts w:ascii="Times New Roman" w:hAnsi="Times New Roman"/>
          <w:szCs w:val="24"/>
        </w:rPr>
        <w:t xml:space="preserve"> or further evaluation.</w:t>
      </w:r>
    </w:p>
    <w:p w:rsidR="00CA5082" w:rsidRPr="00D03B7C" w:rsidRDefault="00CA5082" w:rsidP="00CA5082">
      <w:pPr>
        <w:ind w:left="1800"/>
        <w:rPr>
          <w:rFonts w:ascii="Times New Roman" w:hAnsi="Times New Roman"/>
          <w:sz w:val="16"/>
          <w:szCs w:val="16"/>
        </w:rPr>
      </w:pPr>
    </w:p>
    <w:p w:rsidR="00CA5082" w:rsidRPr="00CA5082" w:rsidRDefault="006418E6" w:rsidP="008E10F0">
      <w:pPr>
        <w:numPr>
          <w:ilvl w:val="0"/>
          <w:numId w:val="9"/>
        </w:numPr>
        <w:ind w:left="1440"/>
        <w:rPr>
          <w:rFonts w:ascii="Times New Roman" w:hAnsi="Times New Roman"/>
          <w:szCs w:val="24"/>
        </w:rPr>
      </w:pPr>
      <w:r>
        <w:rPr>
          <w:rFonts w:ascii="Times New Roman" w:hAnsi="Times New Roman"/>
          <w:szCs w:val="24"/>
        </w:rPr>
        <w:t>I</w:t>
      </w:r>
      <w:r w:rsidRPr="00CA5082">
        <w:rPr>
          <w:rFonts w:ascii="Times New Roman" w:hAnsi="Times New Roman"/>
          <w:szCs w:val="24"/>
        </w:rPr>
        <w:t>nformation</w:t>
      </w:r>
      <w:r>
        <w:rPr>
          <w:rFonts w:ascii="Times New Roman" w:hAnsi="Times New Roman"/>
          <w:szCs w:val="24"/>
        </w:rPr>
        <w:t xml:space="preserve"> on an individual’s h</w:t>
      </w:r>
      <w:r w:rsidRPr="00CA5082">
        <w:rPr>
          <w:rFonts w:ascii="Times New Roman" w:hAnsi="Times New Roman"/>
          <w:szCs w:val="24"/>
        </w:rPr>
        <w:t xml:space="preserve">ealth concerns </w:t>
      </w:r>
      <w:r>
        <w:rPr>
          <w:rFonts w:ascii="Times New Roman" w:hAnsi="Times New Roman"/>
          <w:szCs w:val="24"/>
        </w:rPr>
        <w:t xml:space="preserve">and </w:t>
      </w:r>
      <w:r w:rsidRPr="00CA5082">
        <w:rPr>
          <w:rFonts w:ascii="Times New Roman" w:hAnsi="Times New Roman"/>
          <w:szCs w:val="24"/>
        </w:rPr>
        <w:t>health related issues that may increase swallowing risk includ</w:t>
      </w:r>
      <w:r>
        <w:rPr>
          <w:rFonts w:ascii="Times New Roman" w:hAnsi="Times New Roman"/>
          <w:szCs w:val="24"/>
        </w:rPr>
        <w:t>ing</w:t>
      </w:r>
      <w:r w:rsidRPr="00CA5082">
        <w:rPr>
          <w:rFonts w:ascii="Times New Roman" w:hAnsi="Times New Roman"/>
          <w:szCs w:val="24"/>
        </w:rPr>
        <w:t xml:space="preserve"> reflux, aspiration, </w:t>
      </w:r>
      <w:r>
        <w:rPr>
          <w:rFonts w:ascii="Times New Roman" w:hAnsi="Times New Roman"/>
          <w:szCs w:val="24"/>
        </w:rPr>
        <w:t xml:space="preserve">or </w:t>
      </w:r>
      <w:r w:rsidRPr="00CA5082">
        <w:rPr>
          <w:rFonts w:ascii="Times New Roman" w:hAnsi="Times New Roman"/>
          <w:szCs w:val="24"/>
        </w:rPr>
        <w:t xml:space="preserve">choking, etc., </w:t>
      </w:r>
      <w:r>
        <w:rPr>
          <w:rFonts w:ascii="Times New Roman" w:hAnsi="Times New Roman"/>
          <w:szCs w:val="24"/>
        </w:rPr>
        <w:t xml:space="preserve">and information on </w:t>
      </w:r>
      <w:r w:rsidRPr="00CA5082">
        <w:rPr>
          <w:rFonts w:ascii="Times New Roman" w:hAnsi="Times New Roman"/>
          <w:szCs w:val="24"/>
        </w:rPr>
        <w:t>individual-specific food and</w:t>
      </w:r>
      <w:r>
        <w:rPr>
          <w:rFonts w:ascii="Times New Roman" w:hAnsi="Times New Roman"/>
          <w:szCs w:val="24"/>
        </w:rPr>
        <w:t xml:space="preserve"> </w:t>
      </w:r>
      <w:r w:rsidRPr="00CA5082">
        <w:rPr>
          <w:rFonts w:ascii="Times New Roman" w:hAnsi="Times New Roman"/>
          <w:szCs w:val="24"/>
        </w:rPr>
        <w:t xml:space="preserve">liquid consistency modifications should be communicated to appropriate </w:t>
      </w:r>
      <w:r>
        <w:rPr>
          <w:rFonts w:ascii="Times New Roman" w:hAnsi="Times New Roman"/>
          <w:szCs w:val="24"/>
        </w:rPr>
        <w:t xml:space="preserve">qualified </w:t>
      </w:r>
      <w:r w:rsidRPr="00CA5082">
        <w:rPr>
          <w:rFonts w:ascii="Times New Roman" w:hAnsi="Times New Roman"/>
          <w:szCs w:val="24"/>
        </w:rPr>
        <w:t>providers</w:t>
      </w:r>
      <w:r>
        <w:rPr>
          <w:rFonts w:ascii="Times New Roman" w:hAnsi="Times New Roman"/>
          <w:szCs w:val="24"/>
        </w:rPr>
        <w:t xml:space="preserve">, including employment opportunity and </w:t>
      </w:r>
      <w:r w:rsidRPr="00CA5082">
        <w:rPr>
          <w:rFonts w:ascii="Times New Roman" w:hAnsi="Times New Roman"/>
          <w:szCs w:val="24"/>
        </w:rPr>
        <w:t>day services</w:t>
      </w:r>
      <w:r>
        <w:rPr>
          <w:rFonts w:ascii="Times New Roman" w:hAnsi="Times New Roman"/>
          <w:szCs w:val="24"/>
        </w:rPr>
        <w:t xml:space="preserve"> providers</w:t>
      </w:r>
      <w:r w:rsidRPr="00CA5082">
        <w:rPr>
          <w:rFonts w:ascii="Times New Roman" w:hAnsi="Times New Roman"/>
          <w:szCs w:val="24"/>
        </w:rPr>
        <w:t>.</w:t>
      </w:r>
      <w:r>
        <w:rPr>
          <w:rFonts w:ascii="Times New Roman" w:hAnsi="Times New Roman"/>
          <w:szCs w:val="24"/>
        </w:rPr>
        <w:t xml:space="preserve">  </w:t>
      </w:r>
    </w:p>
    <w:p w:rsidR="00CA5082" w:rsidRPr="00D03B7C" w:rsidRDefault="00CA5082" w:rsidP="008E10F0">
      <w:pPr>
        <w:ind w:left="1440"/>
        <w:rPr>
          <w:rFonts w:ascii="Times New Roman" w:hAnsi="Times New Roman"/>
          <w:sz w:val="16"/>
          <w:szCs w:val="16"/>
        </w:rPr>
      </w:pPr>
    </w:p>
    <w:p w:rsidR="00CA5082" w:rsidRPr="00CA5082" w:rsidRDefault="00CA5082" w:rsidP="008E10F0">
      <w:pPr>
        <w:pStyle w:val="ListParagraph"/>
        <w:numPr>
          <w:ilvl w:val="0"/>
          <w:numId w:val="9"/>
        </w:numPr>
        <w:ind w:left="1440"/>
      </w:pPr>
      <w:r w:rsidRPr="00CA5082">
        <w:t xml:space="preserve">If </w:t>
      </w:r>
      <w:r w:rsidR="004960F3">
        <w:t xml:space="preserve">an individual </w:t>
      </w:r>
      <w:r w:rsidRPr="00CA5082">
        <w:t xml:space="preserve">experiences a change in condition, a reassessment </w:t>
      </w:r>
      <w:r w:rsidR="004960F3">
        <w:t>shall</w:t>
      </w:r>
      <w:r w:rsidRPr="00CA5082">
        <w:t xml:space="preserve"> be conducted</w:t>
      </w:r>
      <w:r w:rsidR="00AD63A0">
        <w:t xml:space="preserve"> by a nurse or community health care provider.</w:t>
      </w:r>
    </w:p>
    <w:p w:rsidR="00CA5082" w:rsidRPr="00D03B7C" w:rsidRDefault="00CA5082" w:rsidP="00CA5082">
      <w:pPr>
        <w:ind w:left="1800"/>
        <w:rPr>
          <w:rFonts w:ascii="Times New Roman" w:hAnsi="Times New Roman"/>
          <w:sz w:val="16"/>
          <w:szCs w:val="16"/>
        </w:rPr>
      </w:pPr>
    </w:p>
    <w:p w:rsidR="00CA5082" w:rsidRPr="00706543" w:rsidRDefault="00CA5082" w:rsidP="003B618A">
      <w:pPr>
        <w:pStyle w:val="ListParagraph"/>
        <w:numPr>
          <w:ilvl w:val="0"/>
          <w:numId w:val="23"/>
        </w:numPr>
        <w:rPr>
          <w:b/>
        </w:rPr>
      </w:pPr>
      <w:r w:rsidRPr="00706543">
        <w:rPr>
          <w:b/>
        </w:rPr>
        <w:t>Evaluation and Follow-up</w:t>
      </w:r>
    </w:p>
    <w:p w:rsidR="00CA5082" w:rsidRPr="00D03B7C" w:rsidRDefault="00CA5082" w:rsidP="00CA5082">
      <w:pPr>
        <w:rPr>
          <w:rFonts w:ascii="Times New Roman" w:hAnsi="Times New Roman"/>
          <w:sz w:val="16"/>
          <w:szCs w:val="16"/>
        </w:rPr>
      </w:pPr>
    </w:p>
    <w:p w:rsidR="00CA5082" w:rsidRPr="00CA5082" w:rsidRDefault="00CA5082" w:rsidP="00706543">
      <w:pPr>
        <w:pStyle w:val="Blockquote"/>
        <w:numPr>
          <w:ilvl w:val="1"/>
          <w:numId w:val="2"/>
        </w:numPr>
        <w:tabs>
          <w:tab w:val="clear" w:pos="2520"/>
        </w:tabs>
        <w:spacing w:before="0" w:after="0"/>
        <w:ind w:left="1080"/>
      </w:pPr>
      <w:r w:rsidRPr="00CA5082">
        <w:t xml:space="preserve">An individual’s identified dysphagia risks shall be addressed by his or her </w:t>
      </w:r>
      <w:r w:rsidR="000919D3">
        <w:t xml:space="preserve">planning and support </w:t>
      </w:r>
      <w:r w:rsidRPr="00CA5082">
        <w:t xml:space="preserve">team </w:t>
      </w:r>
      <w:r w:rsidR="000919D3">
        <w:t xml:space="preserve">(PST) </w:t>
      </w:r>
      <w:r w:rsidRPr="00CA5082">
        <w:t xml:space="preserve">in the individual planning process. The individual’s PST shall ensure the reports and recommendations are provided to </w:t>
      </w:r>
      <w:r w:rsidRPr="00AD63A0">
        <w:t xml:space="preserve">the </w:t>
      </w:r>
      <w:r w:rsidR="00AD63A0" w:rsidRPr="00AD63A0">
        <w:t>r</w:t>
      </w:r>
      <w:r w:rsidRPr="00AD63A0">
        <w:t xml:space="preserve">egistered </w:t>
      </w:r>
      <w:r w:rsidR="00AD63A0" w:rsidRPr="00AD63A0">
        <w:t>n</w:t>
      </w:r>
      <w:r w:rsidRPr="00AD63A0">
        <w:t>urse</w:t>
      </w:r>
      <w:r w:rsidRPr="00CA5082">
        <w:t xml:space="preserve"> or </w:t>
      </w:r>
      <w:r w:rsidR="000919D3">
        <w:t xml:space="preserve">to </w:t>
      </w:r>
      <w:r w:rsidR="000919D3" w:rsidRPr="00AD63A0">
        <w:t>the</w:t>
      </w:r>
      <w:r w:rsidR="000919D3">
        <w:t xml:space="preserve"> </w:t>
      </w:r>
      <w:r w:rsidR="00AD63A0">
        <w:t>c</w:t>
      </w:r>
      <w:r w:rsidRPr="00CA5082">
        <w:t xml:space="preserve">ommunity </w:t>
      </w:r>
      <w:r w:rsidR="00AD63A0">
        <w:t>health</w:t>
      </w:r>
      <w:r w:rsidRPr="00CA5082">
        <w:t xml:space="preserve"> </w:t>
      </w:r>
      <w:r w:rsidR="00AD63A0">
        <w:t>c</w:t>
      </w:r>
      <w:r w:rsidRPr="00CA5082">
        <w:t xml:space="preserve">are </w:t>
      </w:r>
      <w:r w:rsidR="00AD63A0">
        <w:t>p</w:t>
      </w:r>
      <w:r w:rsidRPr="00CA5082">
        <w:t>rovider</w:t>
      </w:r>
      <w:r w:rsidR="000919D3">
        <w:t>,</w:t>
      </w:r>
      <w:r w:rsidRPr="00CA5082">
        <w:t xml:space="preserve"> if there is no RN involvement</w:t>
      </w:r>
      <w:r w:rsidR="000919D3">
        <w:t>,</w:t>
      </w:r>
      <w:r w:rsidRPr="00CA5082">
        <w:t xml:space="preserve"> and </w:t>
      </w:r>
      <w:r w:rsidR="000919D3">
        <w:t>to the employment opportunity or day services provider</w:t>
      </w:r>
      <w:r w:rsidRPr="00CA5082">
        <w:t xml:space="preserve">. </w:t>
      </w:r>
      <w:r w:rsidRPr="00FB1516">
        <w:t xml:space="preserve">If further evaluations to determine the extent of the </w:t>
      </w:r>
      <w:r w:rsidR="00FB1516">
        <w:t xml:space="preserve">individual’s </w:t>
      </w:r>
      <w:r w:rsidRPr="00FB1516">
        <w:t>dysphagia</w:t>
      </w:r>
      <w:r w:rsidR="000919D3" w:rsidRPr="00FB1516">
        <w:t>-</w:t>
      </w:r>
      <w:r w:rsidRPr="00FB1516">
        <w:t>risk</w:t>
      </w:r>
      <w:r w:rsidR="00FB1516">
        <w:t xml:space="preserve"> are needed</w:t>
      </w:r>
      <w:r w:rsidRPr="00FB1516">
        <w:t>, these evaluations may include:</w:t>
      </w:r>
      <w:r w:rsidRPr="00CA5082">
        <w:t xml:space="preserve"> </w:t>
      </w:r>
    </w:p>
    <w:p w:rsidR="00CA5082" w:rsidRPr="00D03B7C" w:rsidRDefault="00CA5082" w:rsidP="00CA5082">
      <w:pPr>
        <w:ind w:left="1800"/>
        <w:rPr>
          <w:rFonts w:ascii="Times New Roman" w:hAnsi="Times New Roman"/>
          <w:sz w:val="16"/>
          <w:szCs w:val="16"/>
        </w:rPr>
      </w:pPr>
    </w:p>
    <w:p w:rsidR="00CA5082" w:rsidRPr="00CA5082" w:rsidRDefault="00CA5082" w:rsidP="00706543">
      <w:pPr>
        <w:numPr>
          <w:ilvl w:val="3"/>
          <w:numId w:val="7"/>
        </w:numPr>
        <w:tabs>
          <w:tab w:val="clear" w:pos="3240"/>
        </w:tabs>
        <w:ind w:left="1440"/>
        <w:rPr>
          <w:rFonts w:ascii="Times New Roman" w:hAnsi="Times New Roman"/>
          <w:szCs w:val="24"/>
        </w:rPr>
      </w:pPr>
      <w:r w:rsidRPr="00CA5082">
        <w:rPr>
          <w:rFonts w:ascii="Times New Roman" w:hAnsi="Times New Roman"/>
          <w:szCs w:val="24"/>
        </w:rPr>
        <w:t xml:space="preserve">Clinical assessment and evaluation of the individual’s swallowing by a Speech Language Pathologist (SLP) or Occupational Therapist (OT).  At a minimum, the </w:t>
      </w:r>
      <w:r w:rsidR="000919D3">
        <w:rPr>
          <w:rFonts w:ascii="Times New Roman" w:hAnsi="Times New Roman"/>
          <w:szCs w:val="24"/>
        </w:rPr>
        <w:t xml:space="preserve">SLP’s or OT’s </w:t>
      </w:r>
      <w:r w:rsidRPr="00CA5082">
        <w:rPr>
          <w:rFonts w:ascii="Times New Roman" w:hAnsi="Times New Roman"/>
          <w:szCs w:val="24"/>
        </w:rPr>
        <w:t>report should document the areas addressed in the sample assessment. (Refer to Attachment B, Bedside Swallow Evaluation)</w:t>
      </w:r>
    </w:p>
    <w:p w:rsidR="00706543" w:rsidRPr="00D03B7C" w:rsidRDefault="00706543" w:rsidP="00706543">
      <w:pPr>
        <w:ind w:left="1080"/>
        <w:rPr>
          <w:rFonts w:ascii="Times New Roman" w:hAnsi="Times New Roman"/>
          <w:sz w:val="16"/>
          <w:szCs w:val="16"/>
        </w:rPr>
      </w:pPr>
    </w:p>
    <w:p w:rsidR="00CA5082" w:rsidRPr="00CA5082" w:rsidRDefault="00CA5082" w:rsidP="00706543">
      <w:pPr>
        <w:numPr>
          <w:ilvl w:val="3"/>
          <w:numId w:val="7"/>
        </w:numPr>
        <w:tabs>
          <w:tab w:val="clear" w:pos="3240"/>
        </w:tabs>
        <w:ind w:left="1440"/>
        <w:rPr>
          <w:rFonts w:ascii="Times New Roman" w:hAnsi="Times New Roman"/>
          <w:szCs w:val="24"/>
        </w:rPr>
      </w:pPr>
      <w:r w:rsidRPr="00CA5082">
        <w:rPr>
          <w:rFonts w:ascii="Times New Roman" w:hAnsi="Times New Roman"/>
          <w:szCs w:val="24"/>
        </w:rPr>
        <w:t xml:space="preserve">Modified Barium Swallow (MBS) or </w:t>
      </w:r>
      <w:r w:rsidR="00C75C8F" w:rsidRPr="00C75C8F">
        <w:rPr>
          <w:rFonts w:ascii="Times New Roman" w:hAnsi="Times New Roman"/>
          <w:szCs w:val="24"/>
        </w:rPr>
        <w:t xml:space="preserve">Fiber Optic Endoscopic Evaluation </w:t>
      </w:r>
      <w:r w:rsidR="00C75C8F">
        <w:rPr>
          <w:rFonts w:ascii="Times New Roman" w:hAnsi="Times New Roman"/>
          <w:szCs w:val="24"/>
        </w:rPr>
        <w:t>o</w:t>
      </w:r>
      <w:r w:rsidR="00C75C8F" w:rsidRPr="00C75C8F">
        <w:rPr>
          <w:rFonts w:ascii="Times New Roman" w:hAnsi="Times New Roman"/>
          <w:szCs w:val="24"/>
        </w:rPr>
        <w:t>f Swallowing (FEES)</w:t>
      </w:r>
    </w:p>
    <w:p w:rsidR="00CA5082" w:rsidRPr="00CA5082" w:rsidRDefault="00CA5082" w:rsidP="00706543">
      <w:pPr>
        <w:pStyle w:val="Blockquote"/>
        <w:numPr>
          <w:ilvl w:val="0"/>
          <w:numId w:val="12"/>
        </w:numPr>
        <w:tabs>
          <w:tab w:val="clear" w:pos="2610"/>
        </w:tabs>
        <w:adjustRightInd/>
        <w:ind w:left="1800" w:right="720"/>
        <w:rPr>
          <w:strike/>
        </w:rPr>
      </w:pPr>
      <w:r w:rsidRPr="00CA5082">
        <w:t xml:space="preserve">In order to maximize either an MBS or FEES test performance, it is recommended that a direct </w:t>
      </w:r>
      <w:r w:rsidR="000919D3">
        <w:t>care</w:t>
      </w:r>
      <w:r w:rsidRPr="00CA5082">
        <w:t xml:space="preserve"> staff, familiar with the individual, accompany him or her to the test and bring </w:t>
      </w:r>
      <w:r w:rsidR="000919D3">
        <w:t xml:space="preserve">the individual’s </w:t>
      </w:r>
      <w:r w:rsidRPr="00CA5082">
        <w:t xml:space="preserve">supporting documentation. </w:t>
      </w:r>
    </w:p>
    <w:p w:rsidR="00CA5082" w:rsidRPr="00CA5082" w:rsidRDefault="00CA5082" w:rsidP="00706543">
      <w:pPr>
        <w:pStyle w:val="Blockquote"/>
        <w:numPr>
          <w:ilvl w:val="0"/>
          <w:numId w:val="12"/>
        </w:numPr>
        <w:tabs>
          <w:tab w:val="clear" w:pos="2610"/>
        </w:tabs>
        <w:adjustRightInd/>
        <w:ind w:left="1800" w:right="720"/>
      </w:pPr>
      <w:r w:rsidRPr="00CA5082">
        <w:t>The licensed practitioner should consider requesting a Barium Pill Study as part of the MBS.</w:t>
      </w:r>
    </w:p>
    <w:p w:rsidR="00CA5082" w:rsidRPr="00CA5082" w:rsidRDefault="00CA5082" w:rsidP="00706543">
      <w:pPr>
        <w:pStyle w:val="Blockquote"/>
        <w:numPr>
          <w:ilvl w:val="0"/>
          <w:numId w:val="35"/>
        </w:numPr>
        <w:spacing w:before="0" w:after="0"/>
        <w:ind w:left="1440" w:right="720"/>
      </w:pPr>
      <w:r w:rsidRPr="00CA5082">
        <w:t xml:space="preserve">Medical, Dental and Other Health Evaluations </w:t>
      </w:r>
    </w:p>
    <w:p w:rsidR="00CA5082" w:rsidRPr="00D03B7C" w:rsidRDefault="00CA5082" w:rsidP="00CA5082">
      <w:pPr>
        <w:pStyle w:val="Blockquote"/>
        <w:spacing w:before="0" w:after="0"/>
        <w:ind w:left="1800" w:right="720"/>
        <w:rPr>
          <w:sz w:val="16"/>
          <w:szCs w:val="16"/>
        </w:rPr>
      </w:pPr>
    </w:p>
    <w:p w:rsidR="00CA5082" w:rsidRPr="004F0A43" w:rsidRDefault="00CA5082" w:rsidP="00D03B7C">
      <w:pPr>
        <w:pStyle w:val="Blockquote"/>
        <w:numPr>
          <w:ilvl w:val="0"/>
          <w:numId w:val="11"/>
        </w:numPr>
        <w:tabs>
          <w:tab w:val="clear" w:pos="2520"/>
        </w:tabs>
        <w:spacing w:before="0"/>
        <w:ind w:left="1800" w:right="720"/>
        <w:rPr>
          <w:iCs/>
        </w:rPr>
      </w:pPr>
      <w:r w:rsidRPr="00CA5082">
        <w:t>A dental</w:t>
      </w:r>
      <w:r w:rsidR="000919D3">
        <w:t>,</w:t>
      </w:r>
      <w:r w:rsidRPr="00CA5082">
        <w:t xml:space="preserve"> an OT or </w:t>
      </w:r>
      <w:r w:rsidR="000919D3">
        <w:t xml:space="preserve">an </w:t>
      </w:r>
      <w:r w:rsidRPr="00CA5082">
        <w:t xml:space="preserve">SLP evaluation may be required for an individual who does not </w:t>
      </w:r>
      <w:r w:rsidR="004F0A43">
        <w:t>h</w:t>
      </w:r>
      <w:r w:rsidRPr="00CA5082">
        <w:t>ave teeth (edentulous)</w:t>
      </w:r>
      <w:r w:rsidR="004F0A43">
        <w:t>,</w:t>
      </w:r>
      <w:r w:rsidRPr="00CA5082">
        <w:t xml:space="preserve"> has few teeth</w:t>
      </w:r>
      <w:r w:rsidR="004F0A43">
        <w:t>,</w:t>
      </w:r>
      <w:r w:rsidRPr="00CA5082">
        <w:t xml:space="preserve"> or has other oral concerns to determine to what extent the individual’s missing teeth or other oral concerns impact the individual’s </w:t>
      </w:r>
      <w:r w:rsidRPr="004F0A43">
        <w:t>ability to chew and swallow solid foods.</w:t>
      </w:r>
    </w:p>
    <w:p w:rsidR="00CA5082" w:rsidRPr="00CA5082" w:rsidRDefault="004F0A43" w:rsidP="00D03B7C">
      <w:pPr>
        <w:pStyle w:val="Blockquote"/>
        <w:numPr>
          <w:ilvl w:val="0"/>
          <w:numId w:val="11"/>
        </w:numPr>
        <w:tabs>
          <w:tab w:val="clear" w:pos="2520"/>
        </w:tabs>
        <w:spacing w:before="0"/>
        <w:ind w:left="1800"/>
      </w:pPr>
      <w:r>
        <w:t>A g</w:t>
      </w:r>
      <w:r w:rsidR="00CA5082" w:rsidRPr="004F0A43">
        <w:t>astroenterologist</w:t>
      </w:r>
      <w:r>
        <w:t>’s</w:t>
      </w:r>
      <w:r w:rsidR="00CA5082" w:rsidRPr="004F0A43">
        <w:t xml:space="preserve"> evaluation may be necessary for</w:t>
      </w:r>
      <w:r w:rsidR="007D4403">
        <w:t xml:space="preserve"> the individual for </w:t>
      </w:r>
      <w:r w:rsidR="00CA5082" w:rsidRPr="004F0A43">
        <w:t xml:space="preserve">any of the following: </w:t>
      </w:r>
      <w:r>
        <w:t xml:space="preserve">(1) </w:t>
      </w:r>
      <w:r w:rsidR="00CA5082" w:rsidRPr="004F0A43">
        <w:t>swallowing abilities</w:t>
      </w:r>
      <w:r w:rsidR="00CA5082" w:rsidRPr="00CA5082">
        <w:t xml:space="preserve"> </w:t>
      </w:r>
      <w:r>
        <w:t>that are significantly impaired;</w:t>
      </w:r>
      <w:r w:rsidR="00CA5082" w:rsidRPr="00CA5082">
        <w:t xml:space="preserve"> </w:t>
      </w:r>
      <w:r>
        <w:t xml:space="preserve">(2) </w:t>
      </w:r>
      <w:r w:rsidR="00CA5082" w:rsidRPr="00CA5082">
        <w:t xml:space="preserve">alternative feeding techniques </w:t>
      </w:r>
      <w:r>
        <w:t xml:space="preserve">used or recommended for </w:t>
      </w:r>
      <w:r w:rsidR="00CA5082" w:rsidRPr="00CA5082">
        <w:t>non-oral feed</w:t>
      </w:r>
      <w:r>
        <w:t>ing</w:t>
      </w:r>
      <w:r w:rsidR="00CA5082" w:rsidRPr="00CA5082">
        <w:t xml:space="preserve"> (i.e., nasogastric tube, g-tube, etc.)</w:t>
      </w:r>
      <w:r>
        <w:t>;</w:t>
      </w:r>
      <w:r w:rsidR="00CA5082" w:rsidRPr="00CA5082">
        <w:t xml:space="preserve"> or </w:t>
      </w:r>
      <w:r>
        <w:t xml:space="preserve">(3) </w:t>
      </w:r>
      <w:r w:rsidR="00CA5082" w:rsidRPr="00CA5082">
        <w:t xml:space="preserve">if </w:t>
      </w:r>
      <w:r w:rsidR="007D4403" w:rsidRPr="00CA5082">
        <w:t>gastroesophageal reflux (GERD)</w:t>
      </w:r>
      <w:r w:rsidR="00CA5082" w:rsidRPr="00CA5082">
        <w:t xml:space="preserve"> is suspected. </w:t>
      </w:r>
    </w:p>
    <w:p w:rsidR="00CA5082" w:rsidRPr="00CA5082" w:rsidRDefault="00CA5082" w:rsidP="00D03B7C">
      <w:pPr>
        <w:pStyle w:val="Blockquote"/>
        <w:numPr>
          <w:ilvl w:val="0"/>
          <w:numId w:val="11"/>
        </w:numPr>
        <w:tabs>
          <w:tab w:val="clear" w:pos="2520"/>
        </w:tabs>
        <w:spacing w:before="0"/>
        <w:ind w:left="1800"/>
      </w:pPr>
      <w:r w:rsidRPr="00CA5082">
        <w:t xml:space="preserve">Dietary consultation may be necessary to ensure appropriate caloric and nutrient intake when the individual’s treatment plan includes </w:t>
      </w:r>
      <w:r w:rsidR="0047066D">
        <w:t xml:space="preserve">(1) </w:t>
      </w:r>
      <w:r w:rsidRPr="00CA5082">
        <w:t xml:space="preserve">enteral feeding, or </w:t>
      </w:r>
      <w:r w:rsidR="0047066D">
        <w:t xml:space="preserve">(2) </w:t>
      </w:r>
      <w:r w:rsidRPr="00CA5082">
        <w:t>eliminat</w:t>
      </w:r>
      <w:r w:rsidR="0047066D">
        <w:t>ing</w:t>
      </w:r>
      <w:r w:rsidRPr="00CA5082">
        <w:t xml:space="preserve"> certain foods from the individual’s diet due to food and liquid consistency issues.</w:t>
      </w:r>
    </w:p>
    <w:p w:rsidR="00CA5082" w:rsidRPr="00CA5082" w:rsidRDefault="00CA5082" w:rsidP="00CA427A">
      <w:pPr>
        <w:pStyle w:val="Blockquote"/>
        <w:numPr>
          <w:ilvl w:val="0"/>
          <w:numId w:val="11"/>
        </w:numPr>
        <w:tabs>
          <w:tab w:val="clear" w:pos="2520"/>
        </w:tabs>
        <w:spacing w:before="0"/>
        <w:ind w:left="1800"/>
      </w:pPr>
      <w:r w:rsidRPr="00CA5082">
        <w:t>Pharmacist consultation may be required to help determine if there is a correlation between an individual’s prescribed medication and his or her difficulty in swallowing.</w:t>
      </w:r>
    </w:p>
    <w:p w:rsidR="00CA5082" w:rsidRPr="00CA5082" w:rsidRDefault="00CA5082" w:rsidP="00CA427A">
      <w:pPr>
        <w:pStyle w:val="Blockquote"/>
        <w:numPr>
          <w:ilvl w:val="0"/>
          <w:numId w:val="11"/>
        </w:numPr>
        <w:tabs>
          <w:tab w:val="clear" w:pos="2520"/>
        </w:tabs>
        <w:spacing w:before="0"/>
        <w:ind w:left="1800"/>
      </w:pPr>
      <w:r w:rsidRPr="00CA5082">
        <w:t xml:space="preserve">Neurological evaluations may be required if the individual’s swallowing issue is suspected to be </w:t>
      </w:r>
      <w:r w:rsidR="0047066D">
        <w:t>due</w:t>
      </w:r>
      <w:r w:rsidRPr="00CA5082">
        <w:t xml:space="preserve"> to </w:t>
      </w:r>
      <w:r w:rsidR="00C638AD">
        <w:t xml:space="preserve">(1) </w:t>
      </w:r>
      <w:r w:rsidRPr="00CA5082">
        <w:t xml:space="preserve">the individual’s anticonvulsant use, or </w:t>
      </w:r>
      <w:r w:rsidR="00C638AD">
        <w:t xml:space="preserve">(2) </w:t>
      </w:r>
      <w:r w:rsidRPr="00CA5082">
        <w:t>some other neurological condition.</w:t>
      </w:r>
    </w:p>
    <w:p w:rsidR="00CA5082" w:rsidRPr="00CA5082" w:rsidRDefault="00C638AD" w:rsidP="00D65CBE">
      <w:pPr>
        <w:pStyle w:val="Blockquote"/>
        <w:numPr>
          <w:ilvl w:val="0"/>
          <w:numId w:val="11"/>
        </w:numPr>
        <w:tabs>
          <w:tab w:val="clear" w:pos="2520"/>
        </w:tabs>
        <w:spacing w:before="0" w:after="0"/>
        <w:ind w:left="1800" w:right="576"/>
      </w:pPr>
      <w:r>
        <w:t>A b</w:t>
      </w:r>
      <w:r w:rsidR="00CA5082" w:rsidRPr="00CA5082">
        <w:t xml:space="preserve">ehavioral, psychological, or psychiatric evaluation may be required for an individual who has high risk behaviors such as acquiring food inappropriately, gorging of food, </w:t>
      </w:r>
      <w:r>
        <w:t xml:space="preserve">or </w:t>
      </w:r>
      <w:r w:rsidR="00CA5082" w:rsidRPr="00CA5082">
        <w:t xml:space="preserve">pica, etc.  If indicated by </w:t>
      </w:r>
      <w:r>
        <w:t>this</w:t>
      </w:r>
      <w:r w:rsidR="00CA5082" w:rsidRPr="00CA5082">
        <w:t xml:space="preserve"> evaluation, a plan shall be developed to promote </w:t>
      </w:r>
      <w:r>
        <w:t xml:space="preserve">safe eating and drinking and </w:t>
      </w:r>
      <w:r w:rsidR="00CA5082" w:rsidRPr="00CA5082">
        <w:t>reduce swallowing risks for the individual.</w:t>
      </w:r>
    </w:p>
    <w:p w:rsidR="00CA5082" w:rsidRPr="00066F0A" w:rsidRDefault="00CA5082" w:rsidP="001808A6">
      <w:pPr>
        <w:pStyle w:val="ListParagraph"/>
        <w:ind w:left="1440"/>
        <w:rPr>
          <w:sz w:val="16"/>
          <w:szCs w:val="16"/>
        </w:rPr>
      </w:pPr>
    </w:p>
    <w:p w:rsidR="00C03BBF" w:rsidRDefault="00C03BBF" w:rsidP="00C03BBF">
      <w:pPr>
        <w:pStyle w:val="Blockquote"/>
        <w:numPr>
          <w:ilvl w:val="0"/>
          <w:numId w:val="45"/>
        </w:numPr>
        <w:spacing w:before="0" w:after="0"/>
        <w:ind w:left="1440"/>
      </w:pPr>
      <w:r>
        <w:t xml:space="preserve">Periodic nursing assessment and clinical re-evaluation may help identify the emergence of new safe eating or drinking risk factors or additional concerns for the individual, especially when an individual has been observed with significant dysphagia risk factors, or if the individual has had significant changes in his or her medical or behavioral condition.  </w:t>
      </w:r>
    </w:p>
    <w:p w:rsidR="00C03BBF" w:rsidRPr="00C03BBF" w:rsidRDefault="00C03BBF" w:rsidP="00C03BBF">
      <w:pPr>
        <w:pStyle w:val="Blockquote"/>
        <w:spacing w:before="0" w:after="0"/>
        <w:ind w:left="1440"/>
        <w:rPr>
          <w:sz w:val="16"/>
          <w:szCs w:val="16"/>
        </w:rPr>
      </w:pPr>
    </w:p>
    <w:p w:rsidR="00CA5082" w:rsidRPr="00CA5082" w:rsidRDefault="00CA5082" w:rsidP="001970F3">
      <w:pPr>
        <w:pStyle w:val="Blockquote"/>
        <w:numPr>
          <w:ilvl w:val="0"/>
          <w:numId w:val="45"/>
        </w:numPr>
        <w:spacing w:before="0"/>
        <w:ind w:left="1440"/>
      </w:pPr>
      <w:r w:rsidRPr="00CA5082">
        <w:t xml:space="preserve">Dysphagia or swallowing risks related to the ingestion of food or non-food items (pica) may be increased due to factors in the individual’s living environment.  Environmental </w:t>
      </w:r>
      <w:r w:rsidR="00F56B33">
        <w:t xml:space="preserve">risk </w:t>
      </w:r>
      <w:r w:rsidRPr="00CA5082">
        <w:t>prevention strategies to be implemented by staff may include</w:t>
      </w:r>
      <w:r w:rsidR="00F56B33">
        <w:t>,</w:t>
      </w:r>
      <w:r w:rsidRPr="00CA5082">
        <w:t xml:space="preserve"> but are not limited to:</w:t>
      </w:r>
    </w:p>
    <w:p w:rsidR="00CA5082" w:rsidRPr="00CA5082" w:rsidRDefault="00CA5082" w:rsidP="001970F3">
      <w:pPr>
        <w:pStyle w:val="Blockquote"/>
        <w:numPr>
          <w:ilvl w:val="0"/>
          <w:numId w:val="13"/>
        </w:numPr>
        <w:spacing w:before="0"/>
      </w:pPr>
      <w:r w:rsidRPr="00CA5082">
        <w:t>A review of the layout of the individual’s residence and</w:t>
      </w:r>
      <w:r w:rsidR="00F56B33">
        <w:t xml:space="preserve"> </w:t>
      </w:r>
      <w:r w:rsidRPr="00CA5082">
        <w:t>day or employment setting.  Staff should consider proximity or access to foods for individuals with pica or swallowing issues.  Staff also should consider the proxi</w:t>
      </w:r>
      <w:r w:rsidR="00F56B33">
        <w:t>mity of an individual’s bedroom</w:t>
      </w:r>
      <w:r w:rsidRPr="00CA5082">
        <w:t xml:space="preserve"> to the kitchen, refrigerator or freezer, food storage, and dining area. </w:t>
      </w:r>
      <w:r w:rsidR="00F56B33">
        <w:t xml:space="preserve"> </w:t>
      </w:r>
      <w:r w:rsidRPr="00CA5082">
        <w:t xml:space="preserve">Staff should make modifications where possible. </w:t>
      </w:r>
    </w:p>
    <w:p w:rsidR="00CA5082" w:rsidRPr="00CA5082" w:rsidRDefault="00CA5082" w:rsidP="001970F3">
      <w:pPr>
        <w:pStyle w:val="Blockquote"/>
        <w:numPr>
          <w:ilvl w:val="0"/>
          <w:numId w:val="13"/>
        </w:numPr>
        <w:spacing w:before="0"/>
      </w:pPr>
      <w:r w:rsidRPr="00CA5082">
        <w:t>Routine environmental surveillance sweeps of areas where the individual spends time to check for ingestible items, food or non-food items</w:t>
      </w:r>
      <w:r w:rsidR="00F56B33">
        <w:t>, i</w:t>
      </w:r>
      <w:r w:rsidRPr="00CA5082">
        <w:t>ncluding</w:t>
      </w:r>
      <w:r w:rsidR="00F56B33">
        <w:t>,</w:t>
      </w:r>
      <w:r w:rsidRPr="00CA5082">
        <w:t xml:space="preserve"> but not limited to</w:t>
      </w:r>
      <w:r w:rsidR="00F56B33">
        <w:t>,</w:t>
      </w:r>
      <w:r w:rsidRPr="00CA5082">
        <w:t xml:space="preserve"> gloves, medical supplies, strings, dirt, office supplies, and cleaning supplies. </w:t>
      </w:r>
    </w:p>
    <w:p w:rsidR="00CA5082" w:rsidRPr="00CA5082" w:rsidRDefault="00F56B33" w:rsidP="001970F3">
      <w:pPr>
        <w:pStyle w:val="Blockquote"/>
        <w:numPr>
          <w:ilvl w:val="0"/>
          <w:numId w:val="13"/>
        </w:numPr>
        <w:spacing w:before="0"/>
      </w:pPr>
      <w:r>
        <w:t>Motor v</w:t>
      </w:r>
      <w:r w:rsidR="00CA5082" w:rsidRPr="00CA5082">
        <w:t xml:space="preserve">ehicle surveillance sweeps to remove food </w:t>
      </w:r>
      <w:r>
        <w:t>or</w:t>
      </w:r>
      <w:r w:rsidR="00CA5082" w:rsidRPr="00CA5082">
        <w:t xml:space="preserve"> non-food items </w:t>
      </w:r>
      <w:r w:rsidR="005C66C6">
        <w:t>prior to</w:t>
      </w:r>
      <w:r w:rsidR="00CA5082" w:rsidRPr="00CA5082">
        <w:t xml:space="preserve"> </w:t>
      </w:r>
      <w:r w:rsidR="000F3A89">
        <w:t xml:space="preserve">each </w:t>
      </w:r>
      <w:r w:rsidR="00CA5082" w:rsidRPr="00CA5082">
        <w:t xml:space="preserve">time an individual enters the vehicle. </w:t>
      </w:r>
    </w:p>
    <w:p w:rsidR="00CA5082" w:rsidRPr="00CA5082" w:rsidRDefault="00CA5082" w:rsidP="001970F3">
      <w:pPr>
        <w:pStyle w:val="Blockquote"/>
        <w:numPr>
          <w:ilvl w:val="0"/>
          <w:numId w:val="13"/>
        </w:numPr>
        <w:spacing w:before="0"/>
      </w:pPr>
      <w:r w:rsidRPr="00CA5082">
        <w:t xml:space="preserve">Consideration of the type of supports the individual </w:t>
      </w:r>
      <w:r w:rsidR="000F3A89">
        <w:t>may</w:t>
      </w:r>
      <w:r w:rsidRPr="00CA5082">
        <w:t xml:space="preserve"> need </w:t>
      </w:r>
      <w:r w:rsidR="000F3A89">
        <w:t xml:space="preserve">in </w:t>
      </w:r>
      <w:r w:rsidRPr="00CA5082">
        <w:t xml:space="preserve">the environment </w:t>
      </w:r>
      <w:r w:rsidR="000F3A89">
        <w:t>of a</w:t>
      </w:r>
      <w:r w:rsidRPr="00CA5082">
        <w:t xml:space="preserve"> planned outing to minimize </w:t>
      </w:r>
      <w:r w:rsidR="000F3A89">
        <w:t>d</w:t>
      </w:r>
      <w:r w:rsidR="000F3A89" w:rsidRPr="00CA5082">
        <w:t xml:space="preserve">ysphagia or swallowing risks </w:t>
      </w:r>
      <w:r w:rsidRPr="00CA5082">
        <w:t>for the individual.</w:t>
      </w:r>
    </w:p>
    <w:p w:rsidR="00CA5082" w:rsidRPr="00CA5082" w:rsidRDefault="00CA5082" w:rsidP="001808A6">
      <w:pPr>
        <w:pStyle w:val="Blockquote"/>
        <w:numPr>
          <w:ilvl w:val="0"/>
          <w:numId w:val="13"/>
        </w:numPr>
        <w:spacing w:before="0" w:after="0"/>
      </w:pPr>
      <w:r w:rsidRPr="00CA5082">
        <w:t>Education of all staff to be vigilant</w:t>
      </w:r>
      <w:r w:rsidR="000F3A89">
        <w:t xml:space="preserve"> for d</w:t>
      </w:r>
      <w:r w:rsidR="000F3A89" w:rsidRPr="00CA5082">
        <w:t>ysphagia or swallowing risks</w:t>
      </w:r>
      <w:r w:rsidRPr="00CA5082">
        <w:t xml:space="preserve">. </w:t>
      </w:r>
    </w:p>
    <w:p w:rsidR="00CA5082" w:rsidRPr="001970F3" w:rsidRDefault="00CA5082" w:rsidP="00CA5082">
      <w:pPr>
        <w:pStyle w:val="Blockquote"/>
        <w:spacing w:before="0" w:after="0"/>
        <w:ind w:left="0"/>
        <w:jc w:val="both"/>
        <w:rPr>
          <w:sz w:val="16"/>
          <w:szCs w:val="16"/>
        </w:rPr>
      </w:pPr>
    </w:p>
    <w:p w:rsidR="00CA5082" w:rsidRPr="001808A6" w:rsidRDefault="00CA5082" w:rsidP="003B618A">
      <w:pPr>
        <w:pStyle w:val="Blockquote"/>
        <w:numPr>
          <w:ilvl w:val="0"/>
          <w:numId w:val="23"/>
        </w:numPr>
        <w:spacing w:before="0" w:after="0"/>
        <w:rPr>
          <w:b/>
        </w:rPr>
      </w:pPr>
      <w:r w:rsidRPr="001808A6">
        <w:rPr>
          <w:b/>
        </w:rPr>
        <w:t>Recommendations</w:t>
      </w:r>
    </w:p>
    <w:p w:rsidR="00CA5082" w:rsidRPr="001970F3" w:rsidRDefault="00CA5082" w:rsidP="00CA5082">
      <w:pPr>
        <w:pStyle w:val="Blockquote"/>
        <w:spacing w:before="0" w:after="0"/>
        <w:ind w:left="-360"/>
        <w:jc w:val="both"/>
        <w:rPr>
          <w:sz w:val="16"/>
          <w:szCs w:val="16"/>
        </w:rPr>
      </w:pPr>
    </w:p>
    <w:p w:rsidR="00CA5082" w:rsidRPr="00CA5082" w:rsidRDefault="00CA5082" w:rsidP="00901C18">
      <w:pPr>
        <w:pStyle w:val="Blockquote"/>
        <w:numPr>
          <w:ilvl w:val="0"/>
          <w:numId w:val="14"/>
        </w:numPr>
        <w:tabs>
          <w:tab w:val="clear" w:pos="2520"/>
        </w:tabs>
        <w:spacing w:before="0" w:after="0"/>
        <w:ind w:left="1080"/>
      </w:pPr>
      <w:r w:rsidRPr="00CA5082">
        <w:t xml:space="preserve">The individual’s </w:t>
      </w:r>
      <w:r w:rsidR="00846C56">
        <w:t xml:space="preserve">planning and support </w:t>
      </w:r>
      <w:r w:rsidRPr="00CA5082">
        <w:t xml:space="preserve">team shall be responsible for reviewing all evaluations, recommendations, and prescribed treatments concerning </w:t>
      </w:r>
      <w:r w:rsidR="00846C56">
        <w:t>the</w:t>
      </w:r>
      <w:r w:rsidRPr="00CA5082">
        <w:t xml:space="preserve"> individual’s dysphagia or swallowing risks and shall incorporate them, as appropriate, into his or her individual plan. The individual’s PST is required to take into consideration the individual’s personal choice</w:t>
      </w:r>
      <w:r w:rsidR="00846C56">
        <w:t>s</w:t>
      </w:r>
      <w:r w:rsidRPr="00CA5082">
        <w:t xml:space="preserve"> and preferences when integrating the safe eating and drinking and swallowing risks.  </w:t>
      </w:r>
      <w:r w:rsidR="00846C56">
        <w:t>These r</w:t>
      </w:r>
      <w:r w:rsidRPr="00CA5082">
        <w:t xml:space="preserve">ecommendations </w:t>
      </w:r>
      <w:r w:rsidR="00846C56">
        <w:t xml:space="preserve">are required to </w:t>
      </w:r>
      <w:r w:rsidRPr="00CA5082">
        <w:t>be based upon the individual’s personal preference</w:t>
      </w:r>
      <w:r w:rsidR="00846C56">
        <w:t>s</w:t>
      </w:r>
      <w:r w:rsidRPr="00CA5082">
        <w:t>. Changes to the individual</w:t>
      </w:r>
      <w:r w:rsidR="00846C56">
        <w:t>’s plan</w:t>
      </w:r>
      <w:r w:rsidRPr="00CA5082">
        <w:t xml:space="preserve"> concerning </w:t>
      </w:r>
      <w:r w:rsidR="00846C56" w:rsidRPr="00CA5082">
        <w:t>dysphagia or swallowing risks</w:t>
      </w:r>
      <w:r w:rsidRPr="00CA5082">
        <w:t xml:space="preserve"> and any recommendations shall be communicated to all staff </w:t>
      </w:r>
      <w:r w:rsidR="00846C56">
        <w:t xml:space="preserve">who </w:t>
      </w:r>
      <w:r w:rsidRPr="00CA5082">
        <w:t xml:space="preserve">support the individual. </w:t>
      </w:r>
    </w:p>
    <w:p w:rsidR="00CA5082" w:rsidRPr="001970F3" w:rsidRDefault="00CA5082" w:rsidP="00901C18">
      <w:pPr>
        <w:pStyle w:val="Blockquote"/>
        <w:spacing w:before="0" w:after="0"/>
        <w:ind w:left="1080"/>
        <w:rPr>
          <w:sz w:val="16"/>
          <w:szCs w:val="16"/>
        </w:rPr>
      </w:pPr>
    </w:p>
    <w:p w:rsidR="00CA5082" w:rsidRPr="00CA5082" w:rsidRDefault="00CA5082" w:rsidP="00901C18">
      <w:pPr>
        <w:pStyle w:val="Blockquote"/>
        <w:numPr>
          <w:ilvl w:val="0"/>
          <w:numId w:val="14"/>
        </w:numPr>
        <w:tabs>
          <w:tab w:val="clear" w:pos="2520"/>
        </w:tabs>
        <w:spacing w:before="0" w:after="0"/>
        <w:ind w:left="1080"/>
      </w:pPr>
      <w:r w:rsidRPr="00CA5082">
        <w:t>Written individual</w:t>
      </w:r>
      <w:r w:rsidR="00846C56">
        <w:t>-</w:t>
      </w:r>
      <w:r w:rsidRPr="00CA5082">
        <w:t xml:space="preserve">specific instructions and training on safe eating and drinking and swallowing risks shall be provided to direct </w:t>
      </w:r>
      <w:r w:rsidR="00846C56">
        <w:t>care</w:t>
      </w:r>
      <w:r w:rsidRPr="00CA5082">
        <w:t xml:space="preserve"> staff, the individual, and</w:t>
      </w:r>
      <w:r w:rsidR="00846C56">
        <w:t xml:space="preserve"> </w:t>
      </w:r>
      <w:r w:rsidRPr="00CA5082">
        <w:t>the individual’s family</w:t>
      </w:r>
      <w:r w:rsidR="00846C56">
        <w:t xml:space="preserve"> or </w:t>
      </w:r>
      <w:r w:rsidRPr="00CA5082">
        <w:t>guardian to ensure understand</w:t>
      </w:r>
      <w:r w:rsidR="004C248C">
        <w:t xml:space="preserve">ing of </w:t>
      </w:r>
      <w:r w:rsidRPr="00CA5082">
        <w:t>the individual’s support needs</w:t>
      </w:r>
      <w:r w:rsidR="004C248C">
        <w:t>, such as:</w:t>
      </w:r>
      <w:r w:rsidRPr="00CA5082">
        <w:t xml:space="preserve"> </w:t>
      </w:r>
    </w:p>
    <w:p w:rsidR="00CA5082" w:rsidRPr="005E36EB" w:rsidRDefault="00CA5082" w:rsidP="00CA5082">
      <w:pPr>
        <w:pStyle w:val="Blockquote"/>
        <w:spacing w:before="0" w:after="0"/>
        <w:ind w:left="0"/>
        <w:rPr>
          <w:sz w:val="16"/>
          <w:szCs w:val="16"/>
        </w:rPr>
      </w:pPr>
    </w:p>
    <w:p w:rsidR="00CA5082" w:rsidRPr="00CA5082" w:rsidRDefault="00CA5082" w:rsidP="00901C18">
      <w:pPr>
        <w:pStyle w:val="Blockquote"/>
        <w:numPr>
          <w:ilvl w:val="0"/>
          <w:numId w:val="3"/>
        </w:numPr>
        <w:tabs>
          <w:tab w:val="clear" w:pos="1800"/>
        </w:tabs>
        <w:spacing w:before="0" w:after="0"/>
        <w:ind w:left="1440" w:right="720"/>
      </w:pPr>
      <w:r w:rsidRPr="00CA5082">
        <w:t>Prescribed food and liquid consistencies</w:t>
      </w:r>
    </w:p>
    <w:p w:rsidR="00CA5082" w:rsidRPr="00CA5082" w:rsidRDefault="00CA5082" w:rsidP="00901C18">
      <w:pPr>
        <w:pStyle w:val="Blockquote"/>
        <w:numPr>
          <w:ilvl w:val="0"/>
          <w:numId w:val="3"/>
        </w:numPr>
        <w:tabs>
          <w:tab w:val="clear" w:pos="1800"/>
        </w:tabs>
        <w:ind w:left="1440" w:right="720"/>
      </w:pPr>
      <w:r w:rsidRPr="00CA5082">
        <w:t>Eating and positioning plans</w:t>
      </w:r>
    </w:p>
    <w:p w:rsidR="00CA5082" w:rsidRPr="00CA5082" w:rsidRDefault="00CA5082" w:rsidP="00901C18">
      <w:pPr>
        <w:pStyle w:val="Blockquote"/>
        <w:numPr>
          <w:ilvl w:val="0"/>
          <w:numId w:val="3"/>
        </w:numPr>
        <w:tabs>
          <w:tab w:val="clear" w:pos="1800"/>
        </w:tabs>
        <w:ind w:left="1440" w:right="720"/>
      </w:pPr>
      <w:r w:rsidRPr="00CA5082">
        <w:t>Aspiration precautions</w:t>
      </w:r>
    </w:p>
    <w:p w:rsidR="00CA5082" w:rsidRPr="00CA5082" w:rsidRDefault="00CA5082" w:rsidP="00901C18">
      <w:pPr>
        <w:pStyle w:val="Blockquote"/>
        <w:numPr>
          <w:ilvl w:val="0"/>
          <w:numId w:val="3"/>
        </w:numPr>
        <w:tabs>
          <w:tab w:val="clear" w:pos="1800"/>
        </w:tabs>
        <w:ind w:left="1440" w:right="720"/>
      </w:pPr>
      <w:r w:rsidRPr="00CA5082">
        <w:t>Reflux precautions</w:t>
      </w:r>
    </w:p>
    <w:p w:rsidR="00CA5082" w:rsidRPr="00CA5082" w:rsidRDefault="00CA5082" w:rsidP="00901C18">
      <w:pPr>
        <w:pStyle w:val="Blockquote"/>
        <w:numPr>
          <w:ilvl w:val="0"/>
          <w:numId w:val="3"/>
        </w:numPr>
        <w:tabs>
          <w:tab w:val="clear" w:pos="1800"/>
        </w:tabs>
        <w:ind w:left="1440" w:right="1080"/>
      </w:pPr>
      <w:r w:rsidRPr="00CA5082">
        <w:t>Consideration of pleasure foods when a G-Tube is in place in order to support an individual’s quality of life.</w:t>
      </w:r>
    </w:p>
    <w:p w:rsidR="00CA5082" w:rsidRPr="00CA5082" w:rsidRDefault="00CA5082" w:rsidP="00901C18">
      <w:pPr>
        <w:pStyle w:val="Blockquote"/>
        <w:numPr>
          <w:ilvl w:val="0"/>
          <w:numId w:val="3"/>
        </w:numPr>
        <w:tabs>
          <w:tab w:val="clear" w:pos="1800"/>
        </w:tabs>
        <w:ind w:left="1440" w:right="1080"/>
      </w:pPr>
      <w:r w:rsidRPr="00CA5082">
        <w:t>Analysis to determine whether an individual is an appropriate candidate for a G-tube.</w:t>
      </w:r>
    </w:p>
    <w:p w:rsidR="00CA5082" w:rsidRPr="00CA5082" w:rsidRDefault="00CA5082" w:rsidP="00901C18">
      <w:pPr>
        <w:pStyle w:val="Blockquote"/>
        <w:numPr>
          <w:ilvl w:val="0"/>
          <w:numId w:val="3"/>
        </w:numPr>
        <w:tabs>
          <w:tab w:val="clear" w:pos="1800"/>
        </w:tabs>
        <w:ind w:left="1440" w:right="1080"/>
      </w:pPr>
      <w:r w:rsidRPr="00CA5082">
        <w:t xml:space="preserve">Behavioral plans and supervision requirements including staff training on the actions to be taken and supervision that has been identified to keep the individual safe. </w:t>
      </w:r>
    </w:p>
    <w:p w:rsidR="00901C18" w:rsidRPr="005E36EB" w:rsidRDefault="00901C18" w:rsidP="00901C18">
      <w:pPr>
        <w:pStyle w:val="Blockquote"/>
        <w:spacing w:before="0" w:after="0"/>
        <w:ind w:left="720"/>
        <w:rPr>
          <w:sz w:val="16"/>
          <w:szCs w:val="16"/>
        </w:rPr>
      </w:pPr>
    </w:p>
    <w:p w:rsidR="00CA5082" w:rsidRPr="00901C18" w:rsidRDefault="006B2F47" w:rsidP="003B618A">
      <w:pPr>
        <w:pStyle w:val="Blockquote"/>
        <w:numPr>
          <w:ilvl w:val="0"/>
          <w:numId w:val="23"/>
        </w:numPr>
        <w:spacing w:before="0" w:after="0"/>
        <w:rPr>
          <w:b/>
        </w:rPr>
      </w:pPr>
      <w:r w:rsidRPr="00FB1516">
        <w:rPr>
          <w:b/>
        </w:rPr>
        <w:t>Qualified</w:t>
      </w:r>
      <w:r>
        <w:rPr>
          <w:b/>
        </w:rPr>
        <w:t xml:space="preserve"> </w:t>
      </w:r>
      <w:r w:rsidR="00CA5082" w:rsidRPr="00901C18">
        <w:rPr>
          <w:b/>
        </w:rPr>
        <w:t>Provider Responsibilities</w:t>
      </w:r>
    </w:p>
    <w:p w:rsidR="00CA5082" w:rsidRPr="00CA5082" w:rsidRDefault="00CA5082" w:rsidP="00901C18">
      <w:pPr>
        <w:pStyle w:val="Blockquote"/>
        <w:spacing w:before="0" w:after="0"/>
        <w:ind w:left="720"/>
      </w:pPr>
      <w:r w:rsidRPr="00CA5082">
        <w:t>Qualified provider</w:t>
      </w:r>
      <w:r w:rsidR="00FA5F5E">
        <w:t>s</w:t>
      </w:r>
      <w:r w:rsidRPr="00CA5082">
        <w:t xml:space="preserve"> shall develop and implement policies, procedures, and guidelines for safe eating and drinking and swallowing risks that are consistent across all agency settings </w:t>
      </w:r>
      <w:r w:rsidR="00FA5F5E">
        <w:t xml:space="preserve">and </w:t>
      </w:r>
      <w:r w:rsidRPr="00CA5082">
        <w:t>that:</w:t>
      </w:r>
    </w:p>
    <w:p w:rsidR="00CA5082" w:rsidRPr="005E36EB" w:rsidRDefault="00CA5082" w:rsidP="00CA5082">
      <w:pPr>
        <w:pStyle w:val="Blockquote"/>
        <w:spacing w:before="0" w:after="0"/>
        <w:ind w:left="0"/>
        <w:rPr>
          <w:sz w:val="16"/>
          <w:szCs w:val="16"/>
        </w:rPr>
      </w:pPr>
    </w:p>
    <w:p w:rsidR="00CA5082" w:rsidRPr="00CA5082" w:rsidRDefault="006C2765" w:rsidP="006C2765">
      <w:pPr>
        <w:pStyle w:val="Blockquote"/>
        <w:numPr>
          <w:ilvl w:val="0"/>
          <w:numId w:val="39"/>
        </w:numPr>
        <w:spacing w:before="0" w:after="0"/>
        <w:ind w:left="1080"/>
      </w:pPr>
      <w:r w:rsidRPr="00CA5082">
        <w:t xml:space="preserve">Identify the notification process to be used for reporting observations, incidents, </w:t>
      </w:r>
      <w:r>
        <w:t xml:space="preserve">and </w:t>
      </w:r>
      <w:r w:rsidRPr="00CA5082">
        <w:t xml:space="preserve">concerns related to safe eating and drinking and swallowing risks.  </w:t>
      </w:r>
      <w:r w:rsidRPr="00D46F5E">
        <w:t xml:space="preserve">(Refer to: Health Standard </w:t>
      </w:r>
      <w:r w:rsidRPr="00D46F5E">
        <w:rPr>
          <w:bCs/>
        </w:rPr>
        <w:t>No.</w:t>
      </w:r>
      <w:r w:rsidRPr="00D46F5E">
        <w:t xml:space="preserve"> 16-2 Attachment C Sample protocol: Aspiration Precautions and Health Standard </w:t>
      </w:r>
      <w:r w:rsidRPr="00D46F5E">
        <w:rPr>
          <w:bCs/>
        </w:rPr>
        <w:t>No.</w:t>
      </w:r>
      <w:r w:rsidRPr="00D46F5E">
        <w:t xml:space="preserve"> 16-2 Attachment D Sample protocol: Reflux Precautions)</w:t>
      </w:r>
      <w:r w:rsidRPr="00CA5082">
        <w:t xml:space="preserve"> </w:t>
      </w:r>
    </w:p>
    <w:p w:rsidR="00CA5082" w:rsidRPr="005E36EB" w:rsidRDefault="00CA5082" w:rsidP="00901C18">
      <w:pPr>
        <w:pStyle w:val="Blockquote"/>
        <w:spacing w:before="0" w:after="0"/>
        <w:ind w:left="1080"/>
        <w:rPr>
          <w:sz w:val="16"/>
          <w:szCs w:val="16"/>
        </w:rPr>
      </w:pPr>
    </w:p>
    <w:p w:rsidR="00CA5082" w:rsidRDefault="00CA5082" w:rsidP="00901C18">
      <w:pPr>
        <w:pStyle w:val="Blockquote"/>
        <w:numPr>
          <w:ilvl w:val="0"/>
          <w:numId w:val="39"/>
        </w:numPr>
        <w:spacing w:before="0" w:after="0"/>
        <w:ind w:left="1080"/>
      </w:pPr>
      <w:r w:rsidRPr="00CA5082">
        <w:t xml:space="preserve">Identify food consistency definitions that </w:t>
      </w:r>
      <w:r w:rsidR="00FA5F5E">
        <w:t xml:space="preserve">are </w:t>
      </w:r>
      <w:r w:rsidR="00FA5F5E" w:rsidRPr="00FB1516">
        <w:t xml:space="preserve">the same as </w:t>
      </w:r>
      <w:r w:rsidR="00FA5F5E">
        <w:t>the DDS-</w:t>
      </w:r>
      <w:r w:rsidRPr="00CA5082">
        <w:t>defined consistencies:</w:t>
      </w:r>
    </w:p>
    <w:p w:rsidR="00D46F5E" w:rsidRPr="00D46F5E" w:rsidRDefault="00D46F5E" w:rsidP="00D46F5E">
      <w:pPr>
        <w:pStyle w:val="Blockquote"/>
        <w:spacing w:before="0" w:after="0"/>
        <w:ind w:left="0"/>
        <w:rPr>
          <w:sz w:val="16"/>
          <w:szCs w:val="16"/>
        </w:rPr>
      </w:pPr>
    </w:p>
    <w:p w:rsidR="00CA5082" w:rsidRPr="00CA5082" w:rsidRDefault="00CA5082" w:rsidP="005E36EB">
      <w:pPr>
        <w:pStyle w:val="Blockquote"/>
        <w:numPr>
          <w:ilvl w:val="0"/>
          <w:numId w:val="15"/>
        </w:numPr>
        <w:tabs>
          <w:tab w:val="clear" w:pos="1800"/>
        </w:tabs>
        <w:spacing w:before="0"/>
        <w:ind w:left="1440" w:right="1080"/>
        <w:rPr>
          <w:bCs/>
        </w:rPr>
      </w:pPr>
      <w:r w:rsidRPr="00CA5082">
        <w:rPr>
          <w:b/>
          <w:bCs/>
        </w:rPr>
        <w:t>Whole</w:t>
      </w:r>
      <w:r w:rsidR="00123BA4">
        <w:rPr>
          <w:b/>
          <w:bCs/>
        </w:rPr>
        <w:t xml:space="preserve"> Food</w:t>
      </w:r>
      <w:r w:rsidRPr="00CA5082">
        <w:rPr>
          <w:bCs/>
        </w:rPr>
        <w:t xml:space="preserve"> </w:t>
      </w:r>
      <w:r w:rsidR="006C2765">
        <w:rPr>
          <w:bCs/>
        </w:rPr>
        <w:t>N</w:t>
      </w:r>
      <w:r w:rsidRPr="00CA5082">
        <w:rPr>
          <w:bCs/>
        </w:rPr>
        <w:t xml:space="preserve">o modifications; </w:t>
      </w:r>
      <w:r w:rsidR="00FA5F5E">
        <w:rPr>
          <w:bCs/>
        </w:rPr>
        <w:t>an i</w:t>
      </w:r>
      <w:r w:rsidRPr="00CA5082">
        <w:rPr>
          <w:bCs/>
        </w:rPr>
        <w:t xml:space="preserve">ndividual may still require direct support staff assistance to cut food before being served, but the size of food pieces is not specified as no swallowing risk </w:t>
      </w:r>
      <w:r w:rsidR="00FA5F5E">
        <w:rPr>
          <w:bCs/>
        </w:rPr>
        <w:t xml:space="preserve">has been </w:t>
      </w:r>
      <w:r w:rsidRPr="00CA5082">
        <w:rPr>
          <w:bCs/>
        </w:rPr>
        <w:t>identified</w:t>
      </w:r>
      <w:r w:rsidR="006C2765">
        <w:rPr>
          <w:bCs/>
        </w:rPr>
        <w:t>.</w:t>
      </w:r>
    </w:p>
    <w:p w:rsidR="00CA5082" w:rsidRPr="00CA5082" w:rsidRDefault="00CA5082" w:rsidP="005E36EB">
      <w:pPr>
        <w:pStyle w:val="Blockquote"/>
        <w:numPr>
          <w:ilvl w:val="0"/>
          <w:numId w:val="15"/>
        </w:numPr>
        <w:tabs>
          <w:tab w:val="clear" w:pos="1800"/>
        </w:tabs>
        <w:spacing w:before="0"/>
        <w:ind w:left="1440" w:right="1080"/>
        <w:rPr>
          <w:bCs/>
        </w:rPr>
      </w:pPr>
      <w:r w:rsidRPr="00CA5082">
        <w:rPr>
          <w:b/>
          <w:bCs/>
        </w:rPr>
        <w:t>Cut-up</w:t>
      </w:r>
      <w:r w:rsidR="00123BA4">
        <w:rPr>
          <w:b/>
          <w:bCs/>
        </w:rPr>
        <w:t xml:space="preserve"> Food</w:t>
      </w:r>
      <w:r w:rsidRPr="00CA5082">
        <w:rPr>
          <w:bCs/>
        </w:rPr>
        <w:t xml:space="preserve"> </w:t>
      </w:r>
      <w:r w:rsidR="006C2765">
        <w:rPr>
          <w:bCs/>
        </w:rPr>
        <w:t>P</w:t>
      </w:r>
      <w:r w:rsidRPr="00CA5082">
        <w:rPr>
          <w:bCs/>
        </w:rPr>
        <w:t xml:space="preserve">ieces </w:t>
      </w:r>
      <w:r w:rsidR="006C2765">
        <w:rPr>
          <w:bCs/>
        </w:rPr>
        <w:t xml:space="preserve">of food </w:t>
      </w:r>
      <w:r w:rsidRPr="00CA5082">
        <w:rPr>
          <w:bCs/>
        </w:rPr>
        <w:t>not to exceed ½”</w:t>
      </w:r>
      <w:r w:rsidR="006C2765">
        <w:rPr>
          <w:bCs/>
        </w:rPr>
        <w:t xml:space="preserve"> </w:t>
      </w:r>
      <w:r w:rsidRPr="00CA5082">
        <w:rPr>
          <w:bCs/>
        </w:rPr>
        <w:t>x ½”</w:t>
      </w:r>
      <w:r w:rsidR="006C2765">
        <w:rPr>
          <w:bCs/>
        </w:rPr>
        <w:t xml:space="preserve"> </w:t>
      </w:r>
      <w:r w:rsidRPr="00CA5082">
        <w:rPr>
          <w:bCs/>
        </w:rPr>
        <w:t>x ½”</w:t>
      </w:r>
      <w:r w:rsidR="006C2765">
        <w:rPr>
          <w:bCs/>
        </w:rPr>
        <w:t>.</w:t>
      </w:r>
    </w:p>
    <w:p w:rsidR="00CA5082" w:rsidRPr="00CA5082" w:rsidRDefault="00CA5082" w:rsidP="005E36EB">
      <w:pPr>
        <w:pStyle w:val="Blockquote"/>
        <w:numPr>
          <w:ilvl w:val="0"/>
          <w:numId w:val="15"/>
        </w:numPr>
        <w:tabs>
          <w:tab w:val="clear" w:pos="1800"/>
        </w:tabs>
        <w:spacing w:before="0"/>
        <w:ind w:left="1440" w:right="0"/>
        <w:rPr>
          <w:bCs/>
        </w:rPr>
      </w:pPr>
      <w:r w:rsidRPr="00CA5082">
        <w:rPr>
          <w:b/>
          <w:bCs/>
        </w:rPr>
        <w:t>Chopped</w:t>
      </w:r>
      <w:r w:rsidR="00123BA4">
        <w:rPr>
          <w:b/>
          <w:bCs/>
        </w:rPr>
        <w:t xml:space="preserve"> Food</w:t>
      </w:r>
      <w:r w:rsidRPr="00CA5082">
        <w:rPr>
          <w:bCs/>
        </w:rPr>
        <w:t xml:space="preserve"> </w:t>
      </w:r>
      <w:r w:rsidR="006C2765">
        <w:rPr>
          <w:bCs/>
        </w:rPr>
        <w:t>P</w:t>
      </w:r>
      <w:r w:rsidRPr="00CA5082">
        <w:rPr>
          <w:bCs/>
        </w:rPr>
        <w:t xml:space="preserve">ieces </w:t>
      </w:r>
      <w:r w:rsidR="006C2765">
        <w:rPr>
          <w:bCs/>
        </w:rPr>
        <w:t xml:space="preserve">of food </w:t>
      </w:r>
      <w:r w:rsidRPr="00CA5082">
        <w:rPr>
          <w:bCs/>
        </w:rPr>
        <w:t>cut by hand to pea size pieces not to exceed ¼”</w:t>
      </w:r>
      <w:r w:rsidR="006C2765">
        <w:rPr>
          <w:bCs/>
        </w:rPr>
        <w:t xml:space="preserve"> </w:t>
      </w:r>
      <w:r w:rsidRPr="00CA5082">
        <w:rPr>
          <w:bCs/>
        </w:rPr>
        <w:t>x ¼”</w:t>
      </w:r>
      <w:r w:rsidR="006C2765">
        <w:rPr>
          <w:bCs/>
        </w:rPr>
        <w:t xml:space="preserve"> </w:t>
      </w:r>
      <w:r w:rsidRPr="00CA5082">
        <w:rPr>
          <w:bCs/>
        </w:rPr>
        <w:t>x ¼”</w:t>
      </w:r>
      <w:r w:rsidR="006C2765">
        <w:rPr>
          <w:bCs/>
        </w:rPr>
        <w:t>.</w:t>
      </w:r>
    </w:p>
    <w:p w:rsidR="00CA5082" w:rsidRPr="00CA5082" w:rsidRDefault="00CA5082" w:rsidP="005E36EB">
      <w:pPr>
        <w:pStyle w:val="Blockquote"/>
        <w:numPr>
          <w:ilvl w:val="0"/>
          <w:numId w:val="15"/>
        </w:numPr>
        <w:tabs>
          <w:tab w:val="clear" w:pos="1800"/>
        </w:tabs>
        <w:spacing w:before="0"/>
        <w:ind w:left="1440" w:right="1080"/>
        <w:rPr>
          <w:bCs/>
        </w:rPr>
      </w:pPr>
      <w:r w:rsidRPr="00CA5082">
        <w:rPr>
          <w:b/>
          <w:bCs/>
        </w:rPr>
        <w:t>Ground</w:t>
      </w:r>
      <w:r w:rsidR="00123BA4">
        <w:rPr>
          <w:b/>
          <w:bCs/>
        </w:rPr>
        <w:t xml:space="preserve"> Food</w:t>
      </w:r>
      <w:r w:rsidRPr="00CA5082">
        <w:rPr>
          <w:bCs/>
        </w:rPr>
        <w:t xml:space="preserve"> </w:t>
      </w:r>
      <w:r w:rsidR="006C2765">
        <w:rPr>
          <w:bCs/>
        </w:rPr>
        <w:t>F</w:t>
      </w:r>
      <w:r w:rsidRPr="00CA5082">
        <w:rPr>
          <w:bCs/>
        </w:rPr>
        <w:t>oods ground in a machine to small curd cottage cheese consistency</w:t>
      </w:r>
      <w:r w:rsidR="006C2765">
        <w:rPr>
          <w:bCs/>
        </w:rPr>
        <w:t>.</w:t>
      </w:r>
    </w:p>
    <w:p w:rsidR="00CA5082" w:rsidRPr="00CA5082" w:rsidRDefault="006C2765" w:rsidP="00901C18">
      <w:pPr>
        <w:pStyle w:val="Blockquote"/>
        <w:numPr>
          <w:ilvl w:val="0"/>
          <w:numId w:val="15"/>
        </w:numPr>
        <w:tabs>
          <w:tab w:val="clear" w:pos="1800"/>
        </w:tabs>
        <w:spacing w:before="0" w:after="0"/>
        <w:ind w:left="1440" w:right="1080"/>
        <w:rPr>
          <w:bCs/>
        </w:rPr>
      </w:pPr>
      <w:r w:rsidRPr="00CA5082">
        <w:rPr>
          <w:b/>
          <w:bCs/>
        </w:rPr>
        <w:t>Pureed</w:t>
      </w:r>
      <w:r w:rsidR="00123BA4">
        <w:rPr>
          <w:b/>
          <w:bCs/>
        </w:rPr>
        <w:t xml:space="preserve"> Food</w:t>
      </w:r>
      <w:r w:rsidRPr="00CA5082">
        <w:rPr>
          <w:bCs/>
        </w:rPr>
        <w:t xml:space="preserve"> </w:t>
      </w:r>
      <w:r>
        <w:rPr>
          <w:bCs/>
        </w:rPr>
        <w:t>F</w:t>
      </w:r>
      <w:r w:rsidRPr="00CA5082">
        <w:rPr>
          <w:bCs/>
        </w:rPr>
        <w:t>oods prepared to a smooth consistency that resembles pudding.  (Refer to</w:t>
      </w:r>
      <w:r>
        <w:rPr>
          <w:bCs/>
        </w:rPr>
        <w:t>:</w:t>
      </w:r>
      <w:r w:rsidRPr="00CA5082">
        <w:rPr>
          <w:bCs/>
        </w:rPr>
        <w:t xml:space="preserve"> </w:t>
      </w:r>
      <w:r w:rsidRPr="00CA5082">
        <w:t xml:space="preserve">Health Standard </w:t>
      </w:r>
      <w:r w:rsidRPr="00CA5082">
        <w:rPr>
          <w:bCs/>
        </w:rPr>
        <w:t>No.</w:t>
      </w:r>
      <w:r w:rsidRPr="00CA5082">
        <w:t xml:space="preserve"> </w:t>
      </w:r>
      <w:r>
        <w:t>1</w:t>
      </w:r>
      <w:r w:rsidRPr="00CA5082">
        <w:t>6-2</w:t>
      </w:r>
      <w:r>
        <w:t xml:space="preserve"> </w:t>
      </w:r>
      <w:r w:rsidRPr="00CA5082">
        <w:t xml:space="preserve">Attachment D Sample protocol: Reflux Precautions </w:t>
      </w:r>
      <w:r>
        <w:t xml:space="preserve">and </w:t>
      </w:r>
      <w:r w:rsidRPr="00CA5082">
        <w:t xml:space="preserve">Health Standard </w:t>
      </w:r>
      <w:r w:rsidRPr="00CA5082">
        <w:rPr>
          <w:bCs/>
        </w:rPr>
        <w:t>No.</w:t>
      </w:r>
      <w:r w:rsidRPr="00CA5082">
        <w:t xml:space="preserve"> 16-2</w:t>
      </w:r>
      <w:r>
        <w:t xml:space="preserve"> </w:t>
      </w:r>
      <w:r w:rsidRPr="00CA5082">
        <w:t>Attachment E Guidelines for Consistency Modifications of Food and Liquids</w:t>
      </w:r>
      <w:r>
        <w:t>)</w:t>
      </w:r>
    </w:p>
    <w:p w:rsidR="00CA5082" w:rsidRPr="005E36EB" w:rsidRDefault="00CA5082" w:rsidP="00CA5082">
      <w:pPr>
        <w:pStyle w:val="Blockquote"/>
        <w:spacing w:before="0" w:after="0"/>
        <w:ind w:left="0"/>
        <w:rPr>
          <w:sz w:val="16"/>
          <w:szCs w:val="16"/>
        </w:rPr>
      </w:pPr>
    </w:p>
    <w:p w:rsidR="00CA5082" w:rsidRDefault="00CA5082" w:rsidP="00901C18">
      <w:pPr>
        <w:pStyle w:val="Blockquote"/>
        <w:numPr>
          <w:ilvl w:val="0"/>
          <w:numId w:val="39"/>
        </w:numPr>
        <w:spacing w:before="0" w:after="0"/>
        <w:ind w:left="1080" w:right="1080"/>
      </w:pPr>
      <w:r w:rsidRPr="00CA5082">
        <w:t>Identify definitions for the prescribed liquid consistencies that agree with the DDS</w:t>
      </w:r>
      <w:r w:rsidR="006C2765">
        <w:t>-</w:t>
      </w:r>
      <w:r w:rsidRPr="00CA5082">
        <w:t>defined liquid consistencies:</w:t>
      </w:r>
    </w:p>
    <w:p w:rsidR="00D46F5E" w:rsidRPr="00D46F5E" w:rsidRDefault="00D46F5E" w:rsidP="00D46F5E">
      <w:pPr>
        <w:pStyle w:val="Blockquote"/>
        <w:spacing w:before="0" w:after="0"/>
        <w:ind w:right="1080"/>
        <w:rPr>
          <w:sz w:val="16"/>
          <w:szCs w:val="16"/>
        </w:rPr>
      </w:pPr>
    </w:p>
    <w:p w:rsidR="00CA5082" w:rsidRPr="00CA5082" w:rsidRDefault="00D82CFD" w:rsidP="005E36EB">
      <w:pPr>
        <w:pStyle w:val="ListParagraph"/>
        <w:numPr>
          <w:ilvl w:val="0"/>
          <w:numId w:val="16"/>
        </w:numPr>
        <w:tabs>
          <w:tab w:val="clear" w:pos="1800"/>
        </w:tabs>
        <w:spacing w:after="240"/>
        <w:ind w:left="1440" w:right="1080"/>
      </w:pPr>
      <w:r w:rsidRPr="00D82CFD">
        <w:rPr>
          <w:b/>
          <w:bCs/>
        </w:rPr>
        <w:t>Thin consistency</w:t>
      </w:r>
      <w:r w:rsidRPr="00D82CFD">
        <w:rPr>
          <w:bCs/>
        </w:rPr>
        <w:t xml:space="preserve"> means any liquid and is considered non-restrictive for an individual’s intake. Thin liquid consistency requires no thickening agent.  </w:t>
      </w:r>
      <w:r w:rsidRPr="00804A5D">
        <w:rPr>
          <w:bCs/>
        </w:rPr>
        <w:t>An individual prescribed thin liquids also may have</w:t>
      </w:r>
      <w:r w:rsidR="00CA5082" w:rsidRPr="00804A5D">
        <w:t xml:space="preserve"> </w:t>
      </w:r>
      <w:r w:rsidR="00804A5D" w:rsidRPr="00804A5D">
        <w:t>gelatin</w:t>
      </w:r>
      <w:r w:rsidR="00CA5082" w:rsidRPr="00804A5D">
        <w:t xml:space="preserve">, ice cream, </w:t>
      </w:r>
      <w:r w:rsidR="006C2765" w:rsidRPr="00804A5D">
        <w:t>sherbet</w:t>
      </w:r>
      <w:r w:rsidR="00CA5082" w:rsidRPr="00804A5D">
        <w:t xml:space="preserve">, sorbet, </w:t>
      </w:r>
      <w:r w:rsidR="006C2765" w:rsidRPr="00804A5D">
        <w:t>I</w:t>
      </w:r>
      <w:r w:rsidR="00CA5082" w:rsidRPr="00804A5D">
        <w:t xml:space="preserve">talian </w:t>
      </w:r>
      <w:r w:rsidR="006C2765" w:rsidRPr="00804A5D">
        <w:t>i</w:t>
      </w:r>
      <w:r w:rsidR="00CA5082" w:rsidRPr="00804A5D">
        <w:t>ce, etc.</w:t>
      </w:r>
    </w:p>
    <w:p w:rsidR="00D82CFD" w:rsidRPr="00D82CFD" w:rsidRDefault="00D82CFD" w:rsidP="005E36EB">
      <w:pPr>
        <w:pStyle w:val="ListParagraph"/>
        <w:numPr>
          <w:ilvl w:val="0"/>
          <w:numId w:val="16"/>
        </w:numPr>
        <w:tabs>
          <w:tab w:val="clear" w:pos="1800"/>
        </w:tabs>
        <w:spacing w:after="240"/>
        <w:ind w:left="1440"/>
        <w:rPr>
          <w:bCs/>
        </w:rPr>
      </w:pPr>
      <w:r w:rsidRPr="00804A5D">
        <w:rPr>
          <w:b/>
          <w:bCs/>
        </w:rPr>
        <w:t>Nectar consistency</w:t>
      </w:r>
      <w:r w:rsidRPr="00D82CFD">
        <w:rPr>
          <w:bCs/>
        </w:rPr>
        <w:t xml:space="preserve"> means apricot or tomato juice consistency; some liquids will require a thickening agent to be added to reach nectar consistency.</w:t>
      </w:r>
    </w:p>
    <w:p w:rsidR="00D82CFD" w:rsidRPr="00D82CFD" w:rsidRDefault="00D82CFD" w:rsidP="001970F3">
      <w:pPr>
        <w:pStyle w:val="ListParagraph"/>
        <w:numPr>
          <w:ilvl w:val="0"/>
          <w:numId w:val="16"/>
        </w:numPr>
        <w:tabs>
          <w:tab w:val="clear" w:pos="1800"/>
        </w:tabs>
        <w:spacing w:after="240"/>
        <w:ind w:left="1440"/>
        <w:rPr>
          <w:bCs/>
        </w:rPr>
      </w:pPr>
      <w:r w:rsidRPr="00D82CFD">
        <w:rPr>
          <w:b/>
          <w:bCs/>
        </w:rPr>
        <w:t>Honey consistency</w:t>
      </w:r>
      <w:r w:rsidRPr="00D82CFD">
        <w:rPr>
          <w:bCs/>
        </w:rPr>
        <w:t xml:space="preserve"> means liquids can still be poured, but are very slow. Some liquids will require a thickening agent to be added to reach honey consistency.</w:t>
      </w:r>
    </w:p>
    <w:p w:rsidR="00A01322" w:rsidRDefault="00D82CFD" w:rsidP="00A01322">
      <w:pPr>
        <w:pStyle w:val="Blockquote"/>
        <w:numPr>
          <w:ilvl w:val="0"/>
          <w:numId w:val="16"/>
        </w:numPr>
        <w:tabs>
          <w:tab w:val="clear" w:pos="1800"/>
        </w:tabs>
        <w:spacing w:before="0" w:after="0"/>
        <w:ind w:left="1440" w:right="1080"/>
      </w:pPr>
      <w:r w:rsidRPr="00D82CFD">
        <w:rPr>
          <w:b/>
          <w:bCs/>
        </w:rPr>
        <w:t>Pudding consistency</w:t>
      </w:r>
      <w:r w:rsidRPr="00D82CFD">
        <w:rPr>
          <w:bCs/>
        </w:rPr>
        <w:t xml:space="preserve"> means liquids are “spoonable,” but when a spoon is placed upright in the liquid, it will not stay upright.  </w:t>
      </w:r>
      <w:r w:rsidR="00CA5082" w:rsidRPr="00CA5082">
        <w:t>(Refer to</w:t>
      </w:r>
      <w:r w:rsidR="000218C6">
        <w:t>:</w:t>
      </w:r>
      <w:r w:rsidR="00CA5082" w:rsidRPr="00CA5082">
        <w:t xml:space="preserve"> </w:t>
      </w:r>
      <w:r w:rsidR="00CF5E17" w:rsidRPr="00CA5082">
        <w:t xml:space="preserve">Health Standard </w:t>
      </w:r>
      <w:r w:rsidR="00CF5E17" w:rsidRPr="00D82CFD">
        <w:rPr>
          <w:bCs/>
        </w:rPr>
        <w:t>No.</w:t>
      </w:r>
      <w:r w:rsidR="00CF5E17" w:rsidRPr="00CA5082">
        <w:t xml:space="preserve"> 16-2</w:t>
      </w:r>
      <w:r w:rsidR="00CF5E17">
        <w:t xml:space="preserve"> </w:t>
      </w:r>
      <w:r w:rsidR="00CF5E17" w:rsidRPr="00CA5082">
        <w:t>Attachment E Guidelines for Consistency Modifications of Food and Liquids</w:t>
      </w:r>
      <w:r w:rsidR="00CA5082" w:rsidRPr="00CA5082">
        <w:t>)</w:t>
      </w:r>
    </w:p>
    <w:p w:rsidR="00A01322" w:rsidRPr="00CA5082" w:rsidRDefault="00A01322" w:rsidP="00A01322">
      <w:pPr>
        <w:pStyle w:val="Blockquote"/>
        <w:spacing w:before="0" w:after="0"/>
        <w:ind w:left="0" w:right="1080"/>
      </w:pPr>
    </w:p>
    <w:p w:rsidR="00A01322" w:rsidRDefault="00555163" w:rsidP="00A01322">
      <w:pPr>
        <w:pStyle w:val="Blockquote"/>
        <w:numPr>
          <w:ilvl w:val="0"/>
          <w:numId w:val="39"/>
        </w:numPr>
        <w:spacing w:before="0" w:after="0"/>
        <w:ind w:left="1080"/>
      </w:pPr>
      <w:r>
        <w:t>Include the requirement that a l</w:t>
      </w:r>
      <w:r w:rsidR="00A01322">
        <w:t>icensed practitioner</w:t>
      </w:r>
      <w:r>
        <w:t>’</w:t>
      </w:r>
      <w:r w:rsidR="00A01322">
        <w:t xml:space="preserve">s order </w:t>
      </w:r>
      <w:r>
        <w:t>document</w:t>
      </w:r>
      <w:r w:rsidR="00A01322">
        <w:t xml:space="preserve"> any exceptions to </w:t>
      </w:r>
      <w:r>
        <w:t xml:space="preserve">an individual’s </w:t>
      </w:r>
      <w:r w:rsidR="00A01322">
        <w:t>food or liquid consistency requirements.</w:t>
      </w:r>
    </w:p>
    <w:p w:rsidR="00CA5082" w:rsidRPr="001970F3" w:rsidRDefault="00CA5082" w:rsidP="00CA5082">
      <w:pPr>
        <w:pStyle w:val="Blockquote"/>
        <w:spacing w:before="0" w:after="0"/>
        <w:rPr>
          <w:sz w:val="16"/>
          <w:szCs w:val="16"/>
        </w:rPr>
      </w:pPr>
    </w:p>
    <w:p w:rsidR="00CA5082" w:rsidRPr="00CA5082" w:rsidRDefault="00CA5082" w:rsidP="00901C18">
      <w:pPr>
        <w:pStyle w:val="Blockquote"/>
        <w:numPr>
          <w:ilvl w:val="0"/>
          <w:numId w:val="39"/>
        </w:numPr>
        <w:spacing w:before="0" w:after="0"/>
        <w:ind w:left="1080"/>
      </w:pPr>
      <w:r w:rsidRPr="00CA5082">
        <w:t>Ensure appropriate equipment for the modification of food and a thickening agent to modify liquid consistencies is available at the sites where it is needed.  The maintenance</w:t>
      </w:r>
      <w:r w:rsidR="00CF5E17">
        <w:t xml:space="preserve"> and </w:t>
      </w:r>
      <w:r w:rsidRPr="00CA5082">
        <w:t xml:space="preserve">upkeep of this equipment </w:t>
      </w:r>
      <w:r w:rsidR="00CF5E17">
        <w:t>shall</w:t>
      </w:r>
      <w:r w:rsidRPr="00CA5082">
        <w:t xml:space="preserve"> be </w:t>
      </w:r>
      <w:r w:rsidR="00CF5E17">
        <w:t>performed</w:t>
      </w:r>
      <w:r w:rsidRPr="00CA5082">
        <w:t xml:space="preserve"> and documented.</w:t>
      </w:r>
    </w:p>
    <w:p w:rsidR="00CA5082" w:rsidRPr="001970F3" w:rsidRDefault="00CA5082" w:rsidP="00901C18">
      <w:pPr>
        <w:pStyle w:val="Blockquote"/>
        <w:spacing w:before="0" w:after="0"/>
        <w:ind w:left="1080" w:hanging="360"/>
        <w:rPr>
          <w:sz w:val="16"/>
          <w:szCs w:val="16"/>
        </w:rPr>
      </w:pPr>
    </w:p>
    <w:p w:rsidR="00CA5082" w:rsidRPr="00CA5082" w:rsidRDefault="00B15299" w:rsidP="00CF5E17">
      <w:pPr>
        <w:pStyle w:val="Blockquote"/>
        <w:numPr>
          <w:ilvl w:val="0"/>
          <w:numId w:val="39"/>
        </w:numPr>
        <w:spacing w:before="0" w:after="0"/>
        <w:ind w:left="1080"/>
      </w:pPr>
      <w:r>
        <w:t>Implement</w:t>
      </w:r>
      <w:r w:rsidR="00CF5E17" w:rsidRPr="00CA5082">
        <w:t xml:space="preserve"> a process for mealtime observations by supervisory and clinical staff to monitor the preparation of prescribed modification</w:t>
      </w:r>
      <w:r>
        <w:t>s</w:t>
      </w:r>
      <w:r w:rsidR="00CF5E17" w:rsidRPr="00CA5082">
        <w:t xml:space="preserve"> of food and liquid consistencies. These observations </w:t>
      </w:r>
      <w:r w:rsidRPr="00CA5082">
        <w:t>and the</w:t>
      </w:r>
      <w:r>
        <w:t>ir</w:t>
      </w:r>
      <w:r w:rsidRPr="00CA5082">
        <w:t xml:space="preserve"> frequency </w:t>
      </w:r>
      <w:r>
        <w:t>shall</w:t>
      </w:r>
      <w:r w:rsidR="00CF5E17" w:rsidRPr="00CA5082">
        <w:t xml:space="preserve"> be documented according to a standardized process. (Refer to</w:t>
      </w:r>
      <w:r w:rsidR="00CF5E17">
        <w:t>:</w:t>
      </w:r>
      <w:r w:rsidR="00CF5E17" w:rsidRPr="00CA5082">
        <w:t xml:space="preserve"> Health Standard </w:t>
      </w:r>
      <w:r w:rsidR="00CF5E17" w:rsidRPr="00CA5082">
        <w:rPr>
          <w:bCs/>
        </w:rPr>
        <w:t>No.</w:t>
      </w:r>
      <w:r w:rsidR="00CF5E17" w:rsidRPr="00CA5082">
        <w:t xml:space="preserve"> 16-2</w:t>
      </w:r>
      <w:r w:rsidR="00CF5E17">
        <w:t xml:space="preserve"> </w:t>
      </w:r>
      <w:r w:rsidR="00CF5E17" w:rsidRPr="00CA5082">
        <w:t xml:space="preserve">Attachment F Meal Observation Documentation Form </w:t>
      </w:r>
      <w:r w:rsidR="00CF5E17">
        <w:t xml:space="preserve">and </w:t>
      </w:r>
      <w:r w:rsidR="00CF5E17" w:rsidRPr="00CA5082">
        <w:t xml:space="preserve">Health Standard </w:t>
      </w:r>
      <w:r w:rsidR="00CF5E17" w:rsidRPr="00CA5082">
        <w:rPr>
          <w:bCs/>
        </w:rPr>
        <w:t>No.</w:t>
      </w:r>
      <w:r w:rsidR="00CF5E17" w:rsidRPr="00CA5082">
        <w:t xml:space="preserve"> 16-2</w:t>
      </w:r>
      <w:r w:rsidR="00CF5E17">
        <w:t xml:space="preserve"> </w:t>
      </w:r>
      <w:r w:rsidR="00CF5E17" w:rsidRPr="00CA5082">
        <w:t>Attachment G Meal Observation Documentation Form</w:t>
      </w:r>
      <w:r w:rsidR="00CF5E17">
        <w:t>)</w:t>
      </w:r>
    </w:p>
    <w:p w:rsidR="00CA5082" w:rsidRPr="001970F3" w:rsidRDefault="00CA5082" w:rsidP="00901C18">
      <w:pPr>
        <w:pStyle w:val="Blockquote"/>
        <w:spacing w:before="0" w:after="0"/>
        <w:ind w:left="1080" w:hanging="360"/>
        <w:rPr>
          <w:sz w:val="16"/>
          <w:szCs w:val="16"/>
        </w:rPr>
      </w:pPr>
    </w:p>
    <w:p w:rsidR="00CA5082" w:rsidRPr="00D46F5E" w:rsidRDefault="00CA5082" w:rsidP="00901C18">
      <w:pPr>
        <w:pStyle w:val="Blockquote"/>
        <w:numPr>
          <w:ilvl w:val="0"/>
          <w:numId w:val="39"/>
        </w:numPr>
        <w:spacing w:before="0" w:after="0"/>
        <w:ind w:left="1080"/>
      </w:pPr>
      <w:r w:rsidRPr="00D46F5E">
        <w:t xml:space="preserve">Ensure that there is communication regarding food and liquid consistency requirements </w:t>
      </w:r>
      <w:r w:rsidR="00D46F5E" w:rsidRPr="00D46F5E">
        <w:t xml:space="preserve">for an individual </w:t>
      </w:r>
      <w:r w:rsidRPr="00D46F5E">
        <w:t>and how these consistencies are achieved</w:t>
      </w:r>
      <w:r w:rsidR="00D46F5E" w:rsidRPr="00D46F5E">
        <w:t xml:space="preserve"> with all persons involved with the individual</w:t>
      </w:r>
      <w:r w:rsidRPr="00D46F5E">
        <w:t>.</w:t>
      </w:r>
    </w:p>
    <w:p w:rsidR="00CA5082" w:rsidRPr="001970F3" w:rsidRDefault="00CA5082" w:rsidP="00901C18">
      <w:pPr>
        <w:pStyle w:val="Blockquote"/>
        <w:spacing w:before="0" w:after="0"/>
        <w:ind w:left="1080" w:hanging="300"/>
        <w:rPr>
          <w:sz w:val="16"/>
          <w:szCs w:val="16"/>
        </w:rPr>
      </w:pPr>
    </w:p>
    <w:p w:rsidR="00CA5082" w:rsidRPr="00CA5082" w:rsidRDefault="00CA5082" w:rsidP="00901C18">
      <w:pPr>
        <w:pStyle w:val="Blockquote"/>
        <w:numPr>
          <w:ilvl w:val="0"/>
          <w:numId w:val="39"/>
        </w:numPr>
        <w:spacing w:before="0" w:after="0"/>
        <w:ind w:left="1080"/>
      </w:pPr>
      <w:r w:rsidRPr="00CA5082">
        <w:t xml:space="preserve">Ensure that when there is a change </w:t>
      </w:r>
      <w:r w:rsidR="00CF5E17">
        <w:t xml:space="preserve">to an individual’s </w:t>
      </w:r>
      <w:r w:rsidRPr="00CA5082">
        <w:t xml:space="preserve">prescribed food or liquid consistency that this information is reflected in the </w:t>
      </w:r>
      <w:r w:rsidR="006146F9">
        <w:t xml:space="preserve">individual’s (1) </w:t>
      </w:r>
      <w:r w:rsidRPr="00CA5082">
        <w:t xml:space="preserve">Level of Need </w:t>
      </w:r>
      <w:r w:rsidR="006146F9">
        <w:t xml:space="preserve">(LON) Assessment and (2) individual plan (IP); </w:t>
      </w:r>
      <w:r w:rsidRPr="00CA5082">
        <w:t xml:space="preserve">and </w:t>
      </w:r>
      <w:r w:rsidR="006146F9">
        <w:t xml:space="preserve">(3) </w:t>
      </w:r>
      <w:r w:rsidRPr="00CA5082">
        <w:t xml:space="preserve">entered into the appropriate </w:t>
      </w:r>
      <w:r w:rsidR="006146F9">
        <w:t xml:space="preserve">screen in </w:t>
      </w:r>
      <w:r w:rsidRPr="00CA5082">
        <w:t>CAMRIS.</w:t>
      </w:r>
    </w:p>
    <w:p w:rsidR="00CA5082" w:rsidRPr="001970F3" w:rsidRDefault="00CA5082" w:rsidP="00CA5082">
      <w:pPr>
        <w:ind w:left="1080" w:hanging="360"/>
        <w:rPr>
          <w:rFonts w:ascii="Times New Roman" w:hAnsi="Times New Roman"/>
          <w:sz w:val="16"/>
          <w:szCs w:val="16"/>
        </w:rPr>
      </w:pPr>
    </w:p>
    <w:p w:rsidR="00CA5082" w:rsidRPr="00CD28EB" w:rsidRDefault="00CA5082" w:rsidP="00CD28EB">
      <w:pPr>
        <w:pStyle w:val="ListParagraph"/>
        <w:numPr>
          <w:ilvl w:val="0"/>
          <w:numId w:val="17"/>
        </w:numPr>
        <w:ind w:left="360"/>
        <w:rPr>
          <w:b/>
          <w:bCs/>
        </w:rPr>
      </w:pPr>
      <w:r w:rsidRPr="00CD28EB">
        <w:rPr>
          <w:b/>
          <w:bCs/>
        </w:rPr>
        <w:t>References</w:t>
      </w:r>
    </w:p>
    <w:p w:rsidR="00CA5082" w:rsidRPr="00D46F5E" w:rsidRDefault="00CA5082" w:rsidP="00CA5082">
      <w:pPr>
        <w:rPr>
          <w:rFonts w:ascii="Times New Roman" w:hAnsi="Times New Roman"/>
          <w:b/>
          <w:bCs/>
          <w:sz w:val="16"/>
          <w:szCs w:val="16"/>
        </w:rPr>
      </w:pPr>
    </w:p>
    <w:p w:rsidR="00CA5082" w:rsidRPr="00490A39" w:rsidRDefault="00CA5082" w:rsidP="00CD28EB">
      <w:pPr>
        <w:ind w:left="360"/>
        <w:rPr>
          <w:rFonts w:ascii="Times New Roman" w:hAnsi="Times New Roman"/>
          <w:szCs w:val="24"/>
        </w:rPr>
      </w:pPr>
      <w:r w:rsidRPr="00490A39">
        <w:rPr>
          <w:rFonts w:ascii="Times New Roman" w:hAnsi="Times New Roman"/>
          <w:szCs w:val="24"/>
        </w:rPr>
        <w:t>DDS Procedure I.D.PR.013</w:t>
      </w:r>
      <w:r w:rsidR="00490A39" w:rsidRPr="00490A39">
        <w:rPr>
          <w:rFonts w:ascii="Times New Roman" w:hAnsi="Times New Roman"/>
          <w:szCs w:val="24"/>
        </w:rPr>
        <w:t xml:space="preserve"> </w:t>
      </w:r>
      <w:hyperlink r:id="rId8" w:history="1">
        <w:r w:rsidR="00490A39" w:rsidRPr="00490A39">
          <w:rPr>
            <w:rStyle w:val="Hyperlink"/>
            <w:rFonts w:ascii="Times New Roman" w:hAnsi="Times New Roman"/>
          </w:rPr>
          <w:t>Risk Management Individual Safety Screening</w:t>
        </w:r>
      </w:hyperlink>
    </w:p>
    <w:p w:rsidR="00CA5082" w:rsidRPr="00D46F5E" w:rsidRDefault="00CA5082" w:rsidP="00CD28EB">
      <w:pPr>
        <w:ind w:left="360"/>
        <w:rPr>
          <w:rFonts w:ascii="Times New Roman" w:hAnsi="Times New Roman"/>
          <w:bCs/>
          <w:sz w:val="16"/>
          <w:szCs w:val="16"/>
        </w:rPr>
      </w:pPr>
    </w:p>
    <w:p w:rsidR="00CA5082" w:rsidRPr="00CA5082" w:rsidRDefault="00CA5082" w:rsidP="00CD28EB">
      <w:pPr>
        <w:ind w:left="360"/>
        <w:rPr>
          <w:rFonts w:ascii="Times New Roman" w:hAnsi="Times New Roman"/>
          <w:szCs w:val="24"/>
        </w:rPr>
      </w:pPr>
      <w:r w:rsidRPr="00CA5082">
        <w:rPr>
          <w:rFonts w:ascii="Times New Roman" w:hAnsi="Times New Roman"/>
          <w:szCs w:val="24"/>
        </w:rPr>
        <w:t xml:space="preserve">Balzer, KM, PharmD, </w:t>
      </w:r>
      <w:r w:rsidRPr="00CD28EB">
        <w:rPr>
          <w:rFonts w:ascii="Times New Roman" w:hAnsi="Times New Roman"/>
          <w:b/>
          <w:szCs w:val="24"/>
        </w:rPr>
        <w:t>“Drug-Induced Dysphagia</w:t>
      </w:r>
      <w:r w:rsidR="00A9608A">
        <w:rPr>
          <w:rFonts w:ascii="Times New Roman" w:hAnsi="Times New Roman"/>
          <w:b/>
          <w:szCs w:val="24"/>
        </w:rPr>
        <w:t>,</w:t>
      </w:r>
      <w:r w:rsidRPr="00CD28EB">
        <w:rPr>
          <w:rFonts w:ascii="Times New Roman" w:hAnsi="Times New Roman"/>
          <w:b/>
          <w:szCs w:val="24"/>
        </w:rPr>
        <w:t>”</w:t>
      </w:r>
      <w:r w:rsidR="00A9608A">
        <w:rPr>
          <w:rFonts w:ascii="Times New Roman" w:hAnsi="Times New Roman"/>
          <w:b/>
          <w:szCs w:val="24"/>
        </w:rPr>
        <w:t xml:space="preserve"> </w:t>
      </w:r>
      <w:r w:rsidRPr="00CA5082">
        <w:rPr>
          <w:rFonts w:ascii="Times New Roman" w:hAnsi="Times New Roman"/>
          <w:szCs w:val="24"/>
          <w:u w:val="single"/>
        </w:rPr>
        <w:t>International Journal of MS Care</w:t>
      </w:r>
      <w:r w:rsidRPr="00CA5082">
        <w:rPr>
          <w:rFonts w:ascii="Times New Roman" w:hAnsi="Times New Roman"/>
          <w:szCs w:val="24"/>
        </w:rPr>
        <w:t xml:space="preserve">, page 6, Volume 2 Issue 1, March 2000. </w:t>
      </w:r>
    </w:p>
    <w:p w:rsidR="00CA5082" w:rsidRPr="00D46F5E" w:rsidRDefault="00CA5082" w:rsidP="00CD28EB">
      <w:pPr>
        <w:ind w:left="360"/>
        <w:rPr>
          <w:rFonts w:ascii="Times New Roman" w:hAnsi="Times New Roman"/>
          <w:sz w:val="16"/>
          <w:szCs w:val="16"/>
        </w:rPr>
      </w:pPr>
    </w:p>
    <w:p w:rsidR="00CA5082" w:rsidRDefault="00CA5082" w:rsidP="00CD28EB">
      <w:pPr>
        <w:ind w:left="360"/>
        <w:rPr>
          <w:rFonts w:ascii="Times New Roman" w:hAnsi="Times New Roman"/>
          <w:szCs w:val="24"/>
        </w:rPr>
      </w:pPr>
      <w:r w:rsidRPr="00CA5082">
        <w:rPr>
          <w:rFonts w:ascii="Times New Roman" w:hAnsi="Times New Roman"/>
          <w:szCs w:val="24"/>
        </w:rPr>
        <w:t xml:space="preserve">Carl, Lynette L. And Johnson, Peter R., </w:t>
      </w:r>
      <w:r w:rsidRPr="00CD28EB">
        <w:rPr>
          <w:rFonts w:ascii="Times New Roman" w:hAnsi="Times New Roman"/>
          <w:b/>
          <w:szCs w:val="24"/>
          <w:u w:val="single"/>
        </w:rPr>
        <w:t>Drugs and Dysphagia, How Medications Can Affect Eating and Swallowing</w:t>
      </w:r>
      <w:r w:rsidRPr="00CA5082">
        <w:rPr>
          <w:rFonts w:ascii="Times New Roman" w:hAnsi="Times New Roman"/>
          <w:szCs w:val="24"/>
        </w:rPr>
        <w:t>, PRO-ED, Inc., Austin Texas, 2006. (</w:t>
      </w:r>
      <w:hyperlink r:id="rId9" w:history="1">
        <w:r w:rsidR="00804A5D" w:rsidRPr="00036836">
          <w:rPr>
            <w:rStyle w:val="Hyperlink"/>
            <w:rFonts w:ascii="Times New Roman" w:hAnsi="Times New Roman"/>
            <w:szCs w:val="24"/>
          </w:rPr>
          <w:t>www.proedinc.com</w:t>
        </w:r>
      </w:hyperlink>
      <w:r w:rsidRPr="00CA5082">
        <w:rPr>
          <w:rFonts w:ascii="Times New Roman" w:hAnsi="Times New Roman"/>
          <w:szCs w:val="24"/>
        </w:rPr>
        <w:t>)</w:t>
      </w:r>
    </w:p>
    <w:p w:rsidR="00804A5D" w:rsidRPr="00D46F5E" w:rsidRDefault="00804A5D" w:rsidP="00CD28EB">
      <w:pPr>
        <w:ind w:left="360"/>
        <w:rPr>
          <w:rFonts w:ascii="Times New Roman" w:hAnsi="Times New Roman"/>
          <w:sz w:val="16"/>
          <w:szCs w:val="16"/>
        </w:rPr>
      </w:pPr>
    </w:p>
    <w:p w:rsidR="00804A5D" w:rsidRPr="00CD28EB" w:rsidRDefault="00D46F5E" w:rsidP="00804A5D">
      <w:pPr>
        <w:pStyle w:val="Blockquote"/>
        <w:spacing w:before="0" w:after="0"/>
        <w:rPr>
          <w:b/>
          <w:bCs/>
        </w:rPr>
      </w:pPr>
      <w:r>
        <w:rPr>
          <w:b/>
          <w:bCs/>
        </w:rPr>
        <w:t xml:space="preserve">DDS </w:t>
      </w:r>
      <w:r w:rsidR="00804A5D" w:rsidRPr="00CD28EB">
        <w:rPr>
          <w:b/>
          <w:bCs/>
        </w:rPr>
        <w:t>Training Resources</w:t>
      </w:r>
    </w:p>
    <w:p w:rsidR="00804A5D" w:rsidRPr="00D46F5E" w:rsidRDefault="00804A5D" w:rsidP="00804A5D">
      <w:pPr>
        <w:pStyle w:val="Blockquote"/>
        <w:spacing w:before="0" w:after="0"/>
        <w:ind w:left="0"/>
        <w:rPr>
          <w:bCs/>
          <w:sz w:val="16"/>
          <w:szCs w:val="16"/>
        </w:rPr>
      </w:pPr>
    </w:p>
    <w:p w:rsidR="00804A5D" w:rsidRPr="00CA5082" w:rsidRDefault="00804A5D" w:rsidP="00804A5D">
      <w:pPr>
        <w:pStyle w:val="Blockquote"/>
        <w:spacing w:before="0" w:after="0"/>
      </w:pPr>
      <w:r w:rsidRPr="00CA5082">
        <w:t>PowerPoint presentation: New Employee/On-going/</w:t>
      </w:r>
      <w:r w:rsidR="00D46F5E">
        <w:t>R</w:t>
      </w:r>
      <w:r w:rsidRPr="00CA5082">
        <w:t>efresher Training on Safe Eating &amp; Drinking and Swallowing Risks</w:t>
      </w:r>
    </w:p>
    <w:p w:rsidR="00CA5082" w:rsidRPr="001970F3" w:rsidRDefault="00CA5082" w:rsidP="00CA5082">
      <w:pPr>
        <w:rPr>
          <w:rFonts w:ascii="Times New Roman" w:hAnsi="Times New Roman"/>
          <w:bCs/>
          <w:sz w:val="16"/>
          <w:szCs w:val="16"/>
        </w:rPr>
      </w:pPr>
    </w:p>
    <w:p w:rsidR="00CA5082" w:rsidRPr="00CD28EB" w:rsidRDefault="00CA5082" w:rsidP="00CD28EB">
      <w:pPr>
        <w:pStyle w:val="ListParagraph"/>
        <w:numPr>
          <w:ilvl w:val="0"/>
          <w:numId w:val="17"/>
        </w:numPr>
        <w:ind w:left="360"/>
        <w:rPr>
          <w:b/>
          <w:bCs/>
        </w:rPr>
      </w:pPr>
      <w:r w:rsidRPr="00CD28EB">
        <w:rPr>
          <w:b/>
          <w:bCs/>
        </w:rPr>
        <w:t xml:space="preserve">Attachments </w:t>
      </w:r>
    </w:p>
    <w:p w:rsidR="00CA5082" w:rsidRDefault="00CA5082" w:rsidP="00CA5082">
      <w:pPr>
        <w:pStyle w:val="Blockquote"/>
        <w:spacing w:before="0" w:after="0"/>
      </w:pPr>
      <w:r w:rsidRPr="00D46F5E">
        <w:rPr>
          <w:sz w:val="16"/>
          <w:szCs w:val="16"/>
        </w:rPr>
        <w:br/>
      </w:r>
      <w:r w:rsidR="00CD28EB" w:rsidRPr="00CA5082">
        <w:t xml:space="preserve">Health Standard </w:t>
      </w:r>
      <w:r w:rsidR="00CD28EB" w:rsidRPr="00CA5082">
        <w:rPr>
          <w:bCs/>
        </w:rPr>
        <w:t>No.</w:t>
      </w:r>
      <w:r w:rsidR="00CD28EB" w:rsidRPr="00CA5082">
        <w:t xml:space="preserve"> 16-2</w:t>
      </w:r>
      <w:r w:rsidR="00CD28EB">
        <w:t xml:space="preserve"> </w:t>
      </w:r>
      <w:r w:rsidRPr="00CA5082">
        <w:t xml:space="preserve">Attachment A </w:t>
      </w:r>
      <w:hyperlink r:id="rId10" w:history="1">
        <w:r w:rsidR="004C30FA">
          <w:rPr>
            <w:rStyle w:val="Hyperlink"/>
          </w:rPr>
          <w:t>Swallowing Epi</w:t>
        </w:r>
        <w:r w:rsidR="004C30FA">
          <w:rPr>
            <w:rStyle w:val="Hyperlink"/>
          </w:rPr>
          <w:t>s</w:t>
        </w:r>
        <w:r w:rsidR="004C30FA">
          <w:rPr>
            <w:rStyle w:val="Hyperlink"/>
          </w:rPr>
          <w:t>ode Report Form (SERF) and Instructions</w:t>
        </w:r>
      </w:hyperlink>
    </w:p>
    <w:p w:rsidR="00CA5082" w:rsidRPr="00CA5082" w:rsidRDefault="00CD28EB" w:rsidP="00CA5082">
      <w:pPr>
        <w:pStyle w:val="Blockquote"/>
        <w:spacing w:before="0" w:after="0"/>
      </w:pPr>
      <w:r w:rsidRPr="00CA5082">
        <w:t xml:space="preserve">Health Standard </w:t>
      </w:r>
      <w:r w:rsidRPr="00CA5082">
        <w:rPr>
          <w:bCs/>
        </w:rPr>
        <w:t>No.</w:t>
      </w:r>
      <w:r w:rsidRPr="00CA5082">
        <w:t xml:space="preserve"> 16-2</w:t>
      </w:r>
      <w:r>
        <w:t xml:space="preserve"> </w:t>
      </w:r>
      <w:r w:rsidR="00CA5082" w:rsidRPr="00CA5082">
        <w:t xml:space="preserve">Attachment B </w:t>
      </w:r>
      <w:hyperlink r:id="rId11" w:history="1">
        <w:proofErr w:type="gramStart"/>
        <w:r w:rsidR="004C30FA">
          <w:rPr>
            <w:rStyle w:val="Hyperlink"/>
          </w:rPr>
          <w:t>Bedside</w:t>
        </w:r>
        <w:proofErr w:type="gramEnd"/>
        <w:r w:rsidR="004C30FA">
          <w:rPr>
            <w:rStyle w:val="Hyperlink"/>
          </w:rPr>
          <w:t xml:space="preserve"> </w:t>
        </w:r>
        <w:r w:rsidR="004C30FA">
          <w:rPr>
            <w:rStyle w:val="Hyperlink"/>
          </w:rPr>
          <w:t>Swallow Evaluation</w:t>
        </w:r>
      </w:hyperlink>
      <w:r w:rsidR="004C30FA">
        <w:t xml:space="preserve"> </w:t>
      </w:r>
    </w:p>
    <w:p w:rsidR="00CA5082" w:rsidRPr="00CA5082" w:rsidRDefault="00CD28EB" w:rsidP="00CA5082">
      <w:pPr>
        <w:pStyle w:val="Blockquote"/>
        <w:spacing w:before="0" w:after="0"/>
      </w:pPr>
      <w:r w:rsidRPr="00CA5082">
        <w:t xml:space="preserve">Health Standard </w:t>
      </w:r>
      <w:r w:rsidRPr="00CA5082">
        <w:rPr>
          <w:bCs/>
        </w:rPr>
        <w:t>No.</w:t>
      </w:r>
      <w:r w:rsidRPr="00CA5082">
        <w:t xml:space="preserve"> 16-2</w:t>
      </w:r>
      <w:r>
        <w:t xml:space="preserve"> </w:t>
      </w:r>
      <w:r w:rsidR="00CA5082" w:rsidRPr="00CA5082">
        <w:t xml:space="preserve">Attachment C </w:t>
      </w:r>
      <w:hyperlink r:id="rId12" w:history="1">
        <w:r w:rsidR="004C30FA">
          <w:rPr>
            <w:rStyle w:val="Hyperlink"/>
          </w:rPr>
          <w:t>Aspiration Precautio</w:t>
        </w:r>
        <w:r w:rsidR="004C30FA">
          <w:rPr>
            <w:rStyle w:val="Hyperlink"/>
          </w:rPr>
          <w:t>n</w:t>
        </w:r>
        <w:r w:rsidR="004C30FA">
          <w:rPr>
            <w:rStyle w:val="Hyperlink"/>
          </w:rPr>
          <w:t>s Sample Protocol</w:t>
        </w:r>
      </w:hyperlink>
      <w:r w:rsidR="004C30FA">
        <w:t xml:space="preserve">                                          </w:t>
      </w:r>
    </w:p>
    <w:p w:rsidR="00CA5082" w:rsidRPr="00CA5082" w:rsidRDefault="00CD28EB" w:rsidP="00CA5082">
      <w:pPr>
        <w:pStyle w:val="Blockquote"/>
        <w:spacing w:before="0" w:after="0"/>
      </w:pPr>
      <w:r w:rsidRPr="00CA5082">
        <w:t xml:space="preserve">Health Standard </w:t>
      </w:r>
      <w:r w:rsidRPr="00CA5082">
        <w:rPr>
          <w:bCs/>
        </w:rPr>
        <w:t>No.</w:t>
      </w:r>
      <w:r w:rsidRPr="00CA5082">
        <w:t xml:space="preserve"> </w:t>
      </w:r>
      <w:r>
        <w:t>1</w:t>
      </w:r>
      <w:r w:rsidRPr="00CA5082">
        <w:t>6-2</w:t>
      </w:r>
      <w:r>
        <w:t xml:space="preserve"> </w:t>
      </w:r>
      <w:r w:rsidR="00CA5082" w:rsidRPr="00CA5082">
        <w:t xml:space="preserve">Attachment D </w:t>
      </w:r>
      <w:hyperlink r:id="rId13" w:history="1">
        <w:r w:rsidR="004C30FA">
          <w:rPr>
            <w:rStyle w:val="Hyperlink"/>
          </w:rPr>
          <w:t>Reflux P</w:t>
        </w:r>
        <w:r w:rsidR="004C30FA">
          <w:rPr>
            <w:rStyle w:val="Hyperlink"/>
          </w:rPr>
          <w:t>r</w:t>
        </w:r>
        <w:r w:rsidR="004C30FA">
          <w:rPr>
            <w:rStyle w:val="Hyperlink"/>
          </w:rPr>
          <w:t>ecautions Sample Protocol</w:t>
        </w:r>
      </w:hyperlink>
      <w:r w:rsidR="004C30FA">
        <w:t xml:space="preserve"> </w:t>
      </w:r>
    </w:p>
    <w:p w:rsidR="00CA5082" w:rsidRPr="00CA5082" w:rsidRDefault="00CD28EB" w:rsidP="00CA5082">
      <w:pPr>
        <w:pStyle w:val="Blockquote"/>
        <w:spacing w:before="0" w:after="0"/>
      </w:pPr>
      <w:r w:rsidRPr="00CA5082">
        <w:t xml:space="preserve">Health Standard </w:t>
      </w:r>
      <w:r w:rsidRPr="00CA5082">
        <w:rPr>
          <w:bCs/>
        </w:rPr>
        <w:t>No.</w:t>
      </w:r>
      <w:r w:rsidRPr="00CA5082">
        <w:t xml:space="preserve"> 16-2</w:t>
      </w:r>
      <w:r>
        <w:t xml:space="preserve"> </w:t>
      </w:r>
      <w:r w:rsidR="00CA5082" w:rsidRPr="00CA5082">
        <w:t xml:space="preserve">Attachment E </w:t>
      </w:r>
      <w:hyperlink r:id="rId14" w:history="1">
        <w:r w:rsidR="004C30FA">
          <w:rPr>
            <w:rStyle w:val="Hyperlink"/>
          </w:rPr>
          <w:t>Guidel</w:t>
        </w:r>
        <w:r w:rsidR="004C30FA">
          <w:rPr>
            <w:rStyle w:val="Hyperlink"/>
          </w:rPr>
          <w:t>i</w:t>
        </w:r>
        <w:r w:rsidR="004C30FA">
          <w:rPr>
            <w:rStyle w:val="Hyperlink"/>
          </w:rPr>
          <w:t>nes for Consistency Modifications of Food and Liquids</w:t>
        </w:r>
      </w:hyperlink>
      <w:r w:rsidR="004C30FA">
        <w:t xml:space="preserve"> </w:t>
      </w:r>
    </w:p>
    <w:p w:rsidR="00CA5082" w:rsidRPr="00CA5082" w:rsidRDefault="00CD28EB" w:rsidP="00CA5082">
      <w:pPr>
        <w:pStyle w:val="Blockquote"/>
        <w:spacing w:before="0" w:after="0"/>
      </w:pPr>
      <w:r w:rsidRPr="00CA5082">
        <w:t xml:space="preserve">Health Standard </w:t>
      </w:r>
      <w:r w:rsidRPr="00CA5082">
        <w:rPr>
          <w:bCs/>
        </w:rPr>
        <w:t>No.</w:t>
      </w:r>
      <w:r w:rsidRPr="00CA5082">
        <w:t xml:space="preserve"> 16-2</w:t>
      </w:r>
      <w:r>
        <w:t xml:space="preserve"> </w:t>
      </w:r>
      <w:r w:rsidR="00CA5082" w:rsidRPr="00CA5082">
        <w:t xml:space="preserve">Attachment F </w:t>
      </w:r>
      <w:hyperlink r:id="rId15" w:history="1">
        <w:r w:rsidR="004C30FA">
          <w:rPr>
            <w:rStyle w:val="Hyperlink"/>
          </w:rPr>
          <w:t>Si</w:t>
        </w:r>
        <w:r w:rsidR="004C30FA">
          <w:rPr>
            <w:rStyle w:val="Hyperlink"/>
          </w:rPr>
          <w:t>t</w:t>
        </w:r>
        <w:r w:rsidR="004C30FA">
          <w:rPr>
            <w:rStyle w:val="Hyperlink"/>
          </w:rPr>
          <w:t>e Meal Observation Documentation Form</w:t>
        </w:r>
      </w:hyperlink>
      <w:r w:rsidR="004C30FA">
        <w:t xml:space="preserve"> </w:t>
      </w:r>
    </w:p>
    <w:p w:rsidR="00CA5082" w:rsidRPr="00CA5082" w:rsidRDefault="00CD28EB" w:rsidP="00D46F5E">
      <w:pPr>
        <w:pStyle w:val="Blockquote"/>
        <w:spacing w:before="0" w:after="0"/>
        <w:rPr>
          <w:bCs/>
          <w:sz w:val="20"/>
          <w:szCs w:val="20"/>
        </w:rPr>
      </w:pPr>
      <w:r w:rsidRPr="00CA5082">
        <w:t xml:space="preserve">Health Standard </w:t>
      </w:r>
      <w:r w:rsidRPr="00CA5082">
        <w:rPr>
          <w:bCs/>
        </w:rPr>
        <w:t>No.</w:t>
      </w:r>
      <w:r w:rsidRPr="00CA5082">
        <w:t xml:space="preserve"> 16-2</w:t>
      </w:r>
      <w:r>
        <w:t xml:space="preserve"> </w:t>
      </w:r>
      <w:r w:rsidR="00CA5082" w:rsidRPr="00CA5082">
        <w:t xml:space="preserve">Attachment G </w:t>
      </w:r>
      <w:hyperlink r:id="rId16" w:history="1">
        <w:r w:rsidR="004C30FA">
          <w:rPr>
            <w:rStyle w:val="Hyperlink"/>
          </w:rPr>
          <w:t xml:space="preserve">Individual </w:t>
        </w:r>
        <w:bookmarkStart w:id="0" w:name="_GoBack"/>
        <w:bookmarkEnd w:id="0"/>
        <w:r w:rsidR="004C30FA">
          <w:rPr>
            <w:rStyle w:val="Hyperlink"/>
          </w:rPr>
          <w:t>M</w:t>
        </w:r>
        <w:r w:rsidR="004C30FA">
          <w:rPr>
            <w:rStyle w:val="Hyperlink"/>
          </w:rPr>
          <w:t>eal Observation Documentation Form</w:t>
        </w:r>
      </w:hyperlink>
      <w:r w:rsidR="004C30FA">
        <w:t xml:space="preserve"> </w:t>
      </w:r>
    </w:p>
    <w:sectPr w:rsidR="00CA5082" w:rsidRPr="00CA5082" w:rsidSect="007B20D4">
      <w:headerReference w:type="default" r:id="rId17"/>
      <w:footerReference w:type="default" r:id="rId18"/>
      <w:headerReference w:type="first" r:id="rId19"/>
      <w:footerReference w:type="first" r:id="rId20"/>
      <w:pgSz w:w="12240" w:h="15840" w:code="1"/>
      <w:pgMar w:top="720" w:right="720" w:bottom="720" w:left="720" w:header="288"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082" w:rsidRDefault="00CA5082" w:rsidP="00CA5082">
      <w:r>
        <w:separator/>
      </w:r>
    </w:p>
  </w:endnote>
  <w:endnote w:type="continuationSeparator" w:id="0">
    <w:p w:rsidR="00CA5082" w:rsidRDefault="00CA5082" w:rsidP="00CA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423030"/>
      <w:docPartObj>
        <w:docPartGallery w:val="Page Numbers (Bottom of Page)"/>
        <w:docPartUnique/>
      </w:docPartObj>
    </w:sdtPr>
    <w:sdtEndPr>
      <w:rPr>
        <w:rFonts w:ascii="Times New Roman" w:hAnsi="Times New Roman"/>
        <w:noProof/>
      </w:rPr>
    </w:sdtEndPr>
    <w:sdtContent>
      <w:p w:rsidR="00FC0E11" w:rsidRPr="00FC0E11" w:rsidRDefault="00FC0E11" w:rsidP="00FC0E11">
        <w:pPr>
          <w:rPr>
            <w:rFonts w:ascii="Times New Roman" w:hAnsi="Times New Roman"/>
            <w:color w:val="000080"/>
            <w:sz w:val="18"/>
            <w:szCs w:val="18"/>
          </w:rPr>
        </w:pPr>
        <w:r w:rsidRPr="00FC0E11">
          <w:rPr>
            <w:rFonts w:ascii="Times New Roman" w:hAnsi="Times New Roman"/>
            <w:sz w:val="18"/>
            <w:szCs w:val="18"/>
          </w:rPr>
          <w:t>Health Standard No.: 16-2 Safe Eating and Drinking Guidelines for Individuals with Swallowing Difficulties (Dysphagia)</w:t>
        </w:r>
      </w:p>
      <w:p w:rsidR="00FE242A" w:rsidRDefault="00F144C4">
        <w:pPr>
          <w:pStyle w:val="Footer"/>
          <w:jc w:val="center"/>
        </w:pPr>
        <w:r w:rsidRPr="00FC0E11">
          <w:rPr>
            <w:rFonts w:ascii="Times New Roman" w:hAnsi="Times New Roman"/>
          </w:rPr>
          <w:fldChar w:fldCharType="begin"/>
        </w:r>
        <w:r w:rsidRPr="00FC0E11">
          <w:rPr>
            <w:rFonts w:ascii="Times New Roman" w:hAnsi="Times New Roman"/>
          </w:rPr>
          <w:instrText xml:space="preserve"> PAGE   \* MERGEFORMAT </w:instrText>
        </w:r>
        <w:r w:rsidRPr="00FC0E11">
          <w:rPr>
            <w:rFonts w:ascii="Times New Roman" w:hAnsi="Times New Roman"/>
          </w:rPr>
          <w:fldChar w:fldCharType="separate"/>
        </w:r>
        <w:r w:rsidR="004C30FA">
          <w:rPr>
            <w:rFonts w:ascii="Times New Roman" w:hAnsi="Times New Roman"/>
            <w:noProof/>
          </w:rPr>
          <w:t>2</w:t>
        </w:r>
        <w:r w:rsidRPr="00FC0E11">
          <w:rPr>
            <w:rFonts w:ascii="Times New Roman" w:hAnsi="Times New Roman"/>
            <w:noProof/>
          </w:rPr>
          <w:fldChar w:fldCharType="end"/>
        </w:r>
      </w:p>
    </w:sdtContent>
  </w:sdt>
  <w:p w:rsidR="00FE242A" w:rsidRDefault="004C30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CC" w:rsidRDefault="00FC0E11" w:rsidP="00FC0E11">
    <w:pPr>
      <w:rPr>
        <w:rFonts w:ascii="Times New Roman" w:hAnsi="Times New Roman"/>
        <w:sz w:val="18"/>
        <w:szCs w:val="18"/>
      </w:rPr>
    </w:pPr>
    <w:r w:rsidRPr="00FC0E11">
      <w:rPr>
        <w:rFonts w:ascii="Times New Roman" w:hAnsi="Times New Roman"/>
        <w:sz w:val="18"/>
        <w:szCs w:val="18"/>
      </w:rPr>
      <w:t>Health Standard No.: 16-2 Safe Eating and Drinking Guidelines for Individuals with Swallowing Difficulties (Dysphagia)</w:t>
    </w:r>
  </w:p>
  <w:p w:rsidR="00FC0E11" w:rsidRDefault="00FC0E11" w:rsidP="00FC0E11">
    <w:pPr>
      <w:rPr>
        <w:rFonts w:ascii="Times New Roman" w:hAnsi="Times New Roman"/>
        <w:sz w:val="18"/>
        <w:szCs w:val="18"/>
      </w:rPr>
    </w:pPr>
  </w:p>
  <w:p w:rsidR="00FC0E11" w:rsidRPr="00FC0E11" w:rsidRDefault="00FC0E11" w:rsidP="00FC0E11">
    <w:pPr>
      <w:rPr>
        <w:rFonts w:ascii="Times New Roman" w:hAnsi="Times New Roman"/>
        <w:color w:val="0000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082" w:rsidRDefault="00CA5082" w:rsidP="00CA5082">
      <w:r>
        <w:separator/>
      </w:r>
    </w:p>
  </w:footnote>
  <w:footnote w:type="continuationSeparator" w:id="0">
    <w:p w:rsidR="00CA5082" w:rsidRDefault="00CA5082" w:rsidP="00CA5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82" w:rsidRPr="00CA5082" w:rsidRDefault="00CA5082" w:rsidP="00CA5082">
    <w:pPr>
      <w:pStyle w:val="Header"/>
      <w:jc w:val="center"/>
      <w:rPr>
        <w:rFonts w:ascii="Times New Roman" w:hAnsi="Times New Roman"/>
        <w:b/>
      </w:rPr>
    </w:pPr>
    <w:r w:rsidRPr="00CA5082">
      <w:rPr>
        <w:rFonts w:ascii="Times New Roman" w:hAnsi="Times New Roman"/>
        <w:b/>
      </w:rPr>
      <w:t>STATE OF CONNECTICUT</w:t>
    </w:r>
  </w:p>
  <w:p w:rsidR="00CA5082" w:rsidRPr="00CA5082" w:rsidRDefault="00CA5082" w:rsidP="00CA5082">
    <w:pPr>
      <w:pStyle w:val="Header"/>
      <w:jc w:val="center"/>
      <w:rPr>
        <w:rFonts w:ascii="Times New Roman" w:hAnsi="Times New Roman"/>
        <w:b/>
      </w:rPr>
    </w:pPr>
    <w:r w:rsidRPr="00CA5082">
      <w:rPr>
        <w:rFonts w:ascii="Times New Roman" w:hAnsi="Times New Roman"/>
        <w:b/>
      </w:rPr>
      <w:t>DEPARTMENT OF DEVELOPMENTAL SERVICES</w:t>
    </w:r>
  </w:p>
  <w:p w:rsidR="00CA5082" w:rsidRDefault="00CA50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6CC" w:rsidRPr="00CA5082" w:rsidRDefault="00CA5082" w:rsidP="00CA5082">
    <w:pPr>
      <w:pStyle w:val="Header"/>
      <w:jc w:val="center"/>
      <w:rPr>
        <w:rFonts w:ascii="Times New Roman" w:hAnsi="Times New Roman"/>
        <w:b/>
      </w:rPr>
    </w:pPr>
    <w:r w:rsidRPr="00CA5082">
      <w:rPr>
        <w:rFonts w:ascii="Times New Roman" w:hAnsi="Times New Roman"/>
        <w:b/>
      </w:rPr>
      <w:t>STATE OF CONNECTICUT</w:t>
    </w:r>
  </w:p>
  <w:p w:rsidR="00CA5082" w:rsidRPr="00CA5082" w:rsidRDefault="00CA5082" w:rsidP="00CA5082">
    <w:pPr>
      <w:pStyle w:val="Header"/>
      <w:jc w:val="center"/>
      <w:rPr>
        <w:rFonts w:ascii="Times New Roman" w:hAnsi="Times New Roman"/>
        <w:b/>
      </w:rPr>
    </w:pPr>
    <w:r w:rsidRPr="00CA5082">
      <w:rPr>
        <w:rFonts w:ascii="Times New Roman" w:hAnsi="Times New Roman"/>
        <w:b/>
      </w:rPr>
      <w:t>DEPARTMENT OF DEVELOPMENTAL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632"/>
    <w:multiLevelType w:val="hybridMultilevel"/>
    <w:tmpl w:val="16BA48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102B94"/>
    <w:multiLevelType w:val="hybridMultilevel"/>
    <w:tmpl w:val="77DCA026"/>
    <w:lvl w:ilvl="0" w:tplc="0409000F">
      <w:start w:val="1"/>
      <w:numFmt w:val="decimal"/>
      <w:lvlText w:val="%1."/>
      <w:lvlJc w:val="left"/>
      <w:pPr>
        <w:tabs>
          <w:tab w:val="num" w:pos="1800"/>
        </w:tabs>
        <w:ind w:left="1800" w:hanging="360"/>
      </w:pPr>
    </w:lvl>
    <w:lvl w:ilvl="1" w:tplc="B2145250">
      <w:start w:val="1"/>
      <w:numFmt w:val="upperLetter"/>
      <w:lvlText w:val="%2."/>
      <w:lvlJc w:val="left"/>
      <w:pPr>
        <w:tabs>
          <w:tab w:val="num" w:pos="2520"/>
        </w:tabs>
        <w:ind w:left="2520" w:hanging="360"/>
      </w:pPr>
      <w:rPr>
        <w:rFonts w:ascii="Times New Roman" w:hAnsi="Times New Roman"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3836893"/>
    <w:multiLevelType w:val="hybridMultilevel"/>
    <w:tmpl w:val="D97A9E74"/>
    <w:lvl w:ilvl="0" w:tplc="04090013">
      <w:start w:val="1"/>
      <w:numFmt w:val="upperRoman"/>
      <w:lvlText w:val="%1."/>
      <w:lvlJc w:val="right"/>
      <w:pPr>
        <w:ind w:left="720" w:hanging="360"/>
      </w:pPr>
    </w:lvl>
    <w:lvl w:ilvl="1" w:tplc="3B9C411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55B47"/>
    <w:multiLevelType w:val="hybridMultilevel"/>
    <w:tmpl w:val="082E09F6"/>
    <w:lvl w:ilvl="0" w:tplc="0409000F">
      <w:start w:val="1"/>
      <w:numFmt w:val="decimal"/>
      <w:lvlText w:val="%1."/>
      <w:lvlJc w:val="left"/>
      <w:pPr>
        <w:tabs>
          <w:tab w:val="num" w:pos="1800"/>
        </w:tabs>
        <w:ind w:left="1800" w:hanging="360"/>
      </w:pPr>
    </w:lvl>
    <w:lvl w:ilvl="1" w:tplc="04090005">
      <w:start w:val="1"/>
      <w:numFmt w:val="bullet"/>
      <w:lvlText w:val=""/>
      <w:lvlJc w:val="left"/>
      <w:pPr>
        <w:tabs>
          <w:tab w:val="num" w:pos="2520"/>
        </w:tabs>
        <w:ind w:left="2520" w:hanging="360"/>
      </w:pPr>
      <w:rPr>
        <w:rFonts w:ascii="Wingdings" w:hAnsi="Wingdings" w:hint="default"/>
      </w:rPr>
    </w:lvl>
    <w:lvl w:ilvl="2" w:tplc="00028C6E">
      <w:start w:val="4"/>
      <w:numFmt w:val="upperLetter"/>
      <w:lvlText w:val="%3."/>
      <w:lvlJc w:val="left"/>
      <w:pPr>
        <w:tabs>
          <w:tab w:val="num" w:pos="3450"/>
        </w:tabs>
        <w:ind w:left="3450" w:hanging="39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A0E7BD3"/>
    <w:multiLevelType w:val="hybridMultilevel"/>
    <w:tmpl w:val="5D805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F7C55"/>
    <w:multiLevelType w:val="hybridMultilevel"/>
    <w:tmpl w:val="140C669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ACB5258"/>
    <w:multiLevelType w:val="hybridMultilevel"/>
    <w:tmpl w:val="AA308B2E"/>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AF46080"/>
    <w:multiLevelType w:val="hybridMultilevel"/>
    <w:tmpl w:val="BC3CE5F4"/>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C177EED"/>
    <w:multiLevelType w:val="hybridMultilevel"/>
    <w:tmpl w:val="2C646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3">
      <w:start w:val="1"/>
      <w:numFmt w:val="upp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0C4042"/>
    <w:multiLevelType w:val="hybridMultilevel"/>
    <w:tmpl w:val="BA083C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9D0541"/>
    <w:multiLevelType w:val="hybridMultilevel"/>
    <w:tmpl w:val="7FDEFF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474481"/>
    <w:multiLevelType w:val="hybridMultilevel"/>
    <w:tmpl w:val="BF942278"/>
    <w:lvl w:ilvl="0" w:tplc="AC3E3CBA">
      <w:start w:val="1"/>
      <w:numFmt w:val="lowerLetter"/>
      <w:lvlText w:val="%1."/>
      <w:lvlJc w:val="left"/>
      <w:pPr>
        <w:tabs>
          <w:tab w:val="num" w:pos="2520"/>
        </w:tabs>
        <w:ind w:left="2520" w:hanging="360"/>
      </w:pPr>
      <w:rPr>
        <w:rFonts w:hint="default"/>
        <w:i w:val="0"/>
      </w:rPr>
    </w:lvl>
    <w:lvl w:ilvl="1" w:tplc="C278F9BA">
      <w:start w:val="3"/>
      <w:numFmt w:val="decimal"/>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EEB0986C">
      <w:start w:val="4"/>
      <w:numFmt w:val="upperRoman"/>
      <w:lvlText w:val="%5."/>
      <w:lvlJc w:val="left"/>
      <w:pPr>
        <w:tabs>
          <w:tab w:val="num" w:pos="3240"/>
        </w:tabs>
        <w:ind w:left="3240" w:hanging="720"/>
      </w:pPr>
      <w:rPr>
        <w:rFonts w:hint="default"/>
      </w:r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nsid w:val="15702C88"/>
    <w:multiLevelType w:val="hybridMultilevel"/>
    <w:tmpl w:val="1864F4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8B2EB2"/>
    <w:multiLevelType w:val="hybridMultilevel"/>
    <w:tmpl w:val="291A24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96468F"/>
    <w:multiLevelType w:val="hybridMultilevel"/>
    <w:tmpl w:val="4F2E17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DCA01D4"/>
    <w:multiLevelType w:val="hybridMultilevel"/>
    <w:tmpl w:val="032055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8AB66DB"/>
    <w:multiLevelType w:val="hybridMultilevel"/>
    <w:tmpl w:val="7F844A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47297A"/>
    <w:multiLevelType w:val="hybridMultilevel"/>
    <w:tmpl w:val="C56423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E237AC"/>
    <w:multiLevelType w:val="hybridMultilevel"/>
    <w:tmpl w:val="320A2A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5634DCF"/>
    <w:multiLevelType w:val="hybridMultilevel"/>
    <w:tmpl w:val="664E4072"/>
    <w:lvl w:ilvl="0" w:tplc="B2145250">
      <w:start w:val="1"/>
      <w:numFmt w:val="upperLetter"/>
      <w:lvlText w:val="%1."/>
      <w:lvlJc w:val="left"/>
      <w:pPr>
        <w:tabs>
          <w:tab w:val="num" w:pos="2520"/>
        </w:tabs>
        <w:ind w:left="2520" w:hanging="360"/>
      </w:pPr>
      <w:rPr>
        <w:rFonts w:ascii="Times New Roman" w:hAnsi="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DD0C74"/>
    <w:multiLevelType w:val="hybridMultilevel"/>
    <w:tmpl w:val="56B4AE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227309"/>
    <w:multiLevelType w:val="hybridMultilevel"/>
    <w:tmpl w:val="E224FA6C"/>
    <w:lvl w:ilvl="0" w:tplc="04090015">
      <w:start w:val="1"/>
      <w:numFmt w:val="upperLetter"/>
      <w:lvlText w:val="%1."/>
      <w:lvlJc w:val="left"/>
      <w:pPr>
        <w:tabs>
          <w:tab w:val="num" w:pos="1800"/>
        </w:tabs>
        <w:ind w:left="180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DA93A70"/>
    <w:multiLevelType w:val="hybridMultilevel"/>
    <w:tmpl w:val="4D0AF7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3DF46B1A"/>
    <w:multiLevelType w:val="hybridMultilevel"/>
    <w:tmpl w:val="1BFE4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41408B"/>
    <w:multiLevelType w:val="hybridMultilevel"/>
    <w:tmpl w:val="AA1690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F56B74"/>
    <w:multiLevelType w:val="hybridMultilevel"/>
    <w:tmpl w:val="8B526858"/>
    <w:lvl w:ilvl="0" w:tplc="749AD11C">
      <w:start w:val="2"/>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2D493D"/>
    <w:multiLevelType w:val="hybridMultilevel"/>
    <w:tmpl w:val="C3066B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C12EBB"/>
    <w:multiLevelType w:val="hybridMultilevel"/>
    <w:tmpl w:val="0F5A2D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131A48"/>
    <w:multiLevelType w:val="hybridMultilevel"/>
    <w:tmpl w:val="BE8C72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5C42A9"/>
    <w:multiLevelType w:val="hybridMultilevel"/>
    <w:tmpl w:val="347CFD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35F3AEE"/>
    <w:multiLevelType w:val="hybridMultilevel"/>
    <w:tmpl w:val="166EE9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6B683A"/>
    <w:multiLevelType w:val="hybridMultilevel"/>
    <w:tmpl w:val="AA308B2E"/>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59624AE"/>
    <w:multiLevelType w:val="hybridMultilevel"/>
    <w:tmpl w:val="BEF8C1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C17CFF"/>
    <w:multiLevelType w:val="hybridMultilevel"/>
    <w:tmpl w:val="21540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466E71"/>
    <w:multiLevelType w:val="hybridMultilevel"/>
    <w:tmpl w:val="67E4F274"/>
    <w:lvl w:ilvl="0" w:tplc="18D2842A">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4BE07CB"/>
    <w:multiLevelType w:val="hybridMultilevel"/>
    <w:tmpl w:val="99A603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033A7B"/>
    <w:multiLevelType w:val="hybridMultilevel"/>
    <w:tmpl w:val="5B22C320"/>
    <w:lvl w:ilvl="0" w:tplc="B2145250">
      <w:start w:val="1"/>
      <w:numFmt w:val="upperLetter"/>
      <w:lvlText w:val="%1."/>
      <w:lvlJc w:val="left"/>
      <w:pPr>
        <w:tabs>
          <w:tab w:val="num" w:pos="1080"/>
        </w:tabs>
        <w:ind w:left="1080" w:hanging="360"/>
      </w:pPr>
      <w:rPr>
        <w:rFonts w:ascii="Times New Roman" w:hAnsi="Times New Roman" w:hint="default"/>
        <w:i w:val="0"/>
      </w:rPr>
    </w:lvl>
    <w:lvl w:ilvl="1" w:tplc="CE30B5A6">
      <w:start w:val="1"/>
      <w:numFmt w:val="lowerRoman"/>
      <w:lvlText w:val="%2)"/>
      <w:lvlJc w:val="left"/>
      <w:pPr>
        <w:tabs>
          <w:tab w:val="num" w:pos="2160"/>
        </w:tabs>
        <w:ind w:left="2160" w:hanging="720"/>
      </w:pPr>
      <w:rPr>
        <w:rFonts w:hint="default"/>
      </w:rPr>
    </w:lvl>
    <w:lvl w:ilvl="2" w:tplc="67C20FEA">
      <w:start w:val="1"/>
      <w:numFmt w:val="lowerLetter"/>
      <w:lvlText w:val="%3."/>
      <w:lvlJc w:val="left"/>
      <w:pPr>
        <w:tabs>
          <w:tab w:val="num" w:pos="2700"/>
        </w:tabs>
        <w:ind w:left="2700" w:hanging="360"/>
      </w:pPr>
      <w:rPr>
        <w:rFonts w:hint="default"/>
      </w:rPr>
    </w:lvl>
    <w:lvl w:ilvl="3" w:tplc="D3C012F2">
      <w:start w:val="1"/>
      <w:numFmt w:val="decimal"/>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7211956"/>
    <w:multiLevelType w:val="hybridMultilevel"/>
    <w:tmpl w:val="4CB89E2A"/>
    <w:lvl w:ilvl="0" w:tplc="67C20FEA">
      <w:start w:val="1"/>
      <w:numFmt w:val="lowerLetter"/>
      <w:lvlText w:val="%1."/>
      <w:lvlJc w:val="left"/>
      <w:pPr>
        <w:tabs>
          <w:tab w:val="num" w:pos="2520"/>
        </w:tabs>
        <w:ind w:left="2520" w:hanging="360"/>
      </w:pPr>
      <w:rPr>
        <w:rFont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69732FE2"/>
    <w:multiLevelType w:val="hybridMultilevel"/>
    <w:tmpl w:val="5B22C320"/>
    <w:lvl w:ilvl="0" w:tplc="B2145250">
      <w:start w:val="1"/>
      <w:numFmt w:val="upperLetter"/>
      <w:lvlText w:val="%1."/>
      <w:lvlJc w:val="left"/>
      <w:pPr>
        <w:tabs>
          <w:tab w:val="num" w:pos="1080"/>
        </w:tabs>
        <w:ind w:left="1080" w:hanging="360"/>
      </w:pPr>
      <w:rPr>
        <w:rFonts w:ascii="Times New Roman" w:hAnsi="Times New Roman" w:hint="default"/>
        <w:i w:val="0"/>
      </w:rPr>
    </w:lvl>
    <w:lvl w:ilvl="1" w:tplc="CE30B5A6">
      <w:start w:val="1"/>
      <w:numFmt w:val="lowerRoman"/>
      <w:lvlText w:val="%2)"/>
      <w:lvlJc w:val="left"/>
      <w:pPr>
        <w:tabs>
          <w:tab w:val="num" w:pos="2160"/>
        </w:tabs>
        <w:ind w:left="2160" w:hanging="720"/>
      </w:pPr>
      <w:rPr>
        <w:rFonts w:hint="default"/>
      </w:rPr>
    </w:lvl>
    <w:lvl w:ilvl="2" w:tplc="67C20FEA">
      <w:start w:val="1"/>
      <w:numFmt w:val="lowerLetter"/>
      <w:lvlText w:val="%3."/>
      <w:lvlJc w:val="left"/>
      <w:pPr>
        <w:tabs>
          <w:tab w:val="num" w:pos="2700"/>
        </w:tabs>
        <w:ind w:left="2700" w:hanging="360"/>
      </w:pPr>
      <w:rPr>
        <w:rFonts w:hint="default"/>
      </w:rPr>
    </w:lvl>
    <w:lvl w:ilvl="3" w:tplc="D3C012F2">
      <w:start w:val="1"/>
      <w:numFmt w:val="decimal"/>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ADB2E63"/>
    <w:multiLevelType w:val="hybridMultilevel"/>
    <w:tmpl w:val="A42483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626DF8"/>
    <w:multiLevelType w:val="hybridMultilevel"/>
    <w:tmpl w:val="320A2A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C1D5A5D"/>
    <w:multiLevelType w:val="hybridMultilevel"/>
    <w:tmpl w:val="F5B25C7E"/>
    <w:lvl w:ilvl="0" w:tplc="E8CA515E">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3C6F3D"/>
    <w:multiLevelType w:val="hybridMultilevel"/>
    <w:tmpl w:val="868AFE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2B7B0C"/>
    <w:multiLevelType w:val="hybridMultilevel"/>
    <w:tmpl w:val="FDCC3F28"/>
    <w:lvl w:ilvl="0" w:tplc="700AA074">
      <w:start w:val="1"/>
      <w:numFmt w:val="lowerLetter"/>
      <w:lvlText w:val="%1."/>
      <w:lvlJc w:val="left"/>
      <w:pPr>
        <w:tabs>
          <w:tab w:val="num" w:pos="2610"/>
        </w:tabs>
        <w:ind w:left="2610" w:hanging="360"/>
      </w:pPr>
      <w:rPr>
        <w:rFonts w:hint="default"/>
        <w:i w:val="0"/>
        <w:strike w:val="0"/>
      </w:rPr>
    </w:lvl>
    <w:lvl w:ilvl="1" w:tplc="CE30B5A6">
      <w:start w:val="1"/>
      <w:numFmt w:val="lowerRoman"/>
      <w:lvlText w:val="%2)"/>
      <w:lvlJc w:val="left"/>
      <w:pPr>
        <w:tabs>
          <w:tab w:val="num" w:pos="3690"/>
        </w:tabs>
        <w:ind w:left="3690" w:hanging="720"/>
      </w:pPr>
      <w:rPr>
        <w:rFonts w:hint="default"/>
      </w:rPr>
    </w:lvl>
    <w:lvl w:ilvl="2" w:tplc="67C20FEA">
      <w:start w:val="1"/>
      <w:numFmt w:val="lowerLetter"/>
      <w:lvlText w:val="%3."/>
      <w:lvlJc w:val="left"/>
      <w:pPr>
        <w:tabs>
          <w:tab w:val="num" w:pos="4230"/>
        </w:tabs>
        <w:ind w:left="4230" w:hanging="360"/>
      </w:pPr>
      <w:rPr>
        <w:rFonts w:hint="default"/>
      </w:rPr>
    </w:lvl>
    <w:lvl w:ilvl="3" w:tplc="D3C012F2">
      <w:start w:val="1"/>
      <w:numFmt w:val="decimal"/>
      <w:lvlText w:val="%4."/>
      <w:lvlJc w:val="left"/>
      <w:pPr>
        <w:tabs>
          <w:tab w:val="num" w:pos="4770"/>
        </w:tabs>
        <w:ind w:left="4770" w:hanging="360"/>
      </w:pPr>
      <w:rPr>
        <w:rFonts w:hint="default"/>
      </w:rPr>
    </w:lvl>
    <w:lvl w:ilvl="4" w:tplc="04090019">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44">
    <w:nsid w:val="72E345AB"/>
    <w:multiLevelType w:val="hybridMultilevel"/>
    <w:tmpl w:val="DF7ADA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A02F36"/>
    <w:multiLevelType w:val="hybridMultilevel"/>
    <w:tmpl w:val="811A5F9A"/>
    <w:lvl w:ilvl="0" w:tplc="509AAB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
  </w:num>
  <w:num w:numId="3">
    <w:abstractNumId w:val="3"/>
  </w:num>
  <w:num w:numId="4">
    <w:abstractNumId w:val="25"/>
  </w:num>
  <w:num w:numId="5">
    <w:abstractNumId w:val="40"/>
  </w:num>
  <w:num w:numId="6">
    <w:abstractNumId w:val="37"/>
  </w:num>
  <w:num w:numId="7">
    <w:abstractNumId w:val="36"/>
  </w:num>
  <w:num w:numId="8">
    <w:abstractNumId w:val="18"/>
  </w:num>
  <w:num w:numId="9">
    <w:abstractNumId w:val="15"/>
  </w:num>
  <w:num w:numId="10">
    <w:abstractNumId w:val="22"/>
  </w:num>
  <w:num w:numId="11">
    <w:abstractNumId w:val="11"/>
  </w:num>
  <w:num w:numId="12">
    <w:abstractNumId w:val="43"/>
  </w:num>
  <w:num w:numId="13">
    <w:abstractNumId w:val="14"/>
  </w:num>
  <w:num w:numId="14">
    <w:abstractNumId w:val="19"/>
  </w:num>
  <w:num w:numId="15">
    <w:abstractNumId w:val="31"/>
  </w:num>
  <w:num w:numId="16">
    <w:abstractNumId w:val="6"/>
  </w:num>
  <w:num w:numId="17">
    <w:abstractNumId w:val="20"/>
  </w:num>
  <w:num w:numId="18">
    <w:abstractNumId w:val="33"/>
  </w:num>
  <w:num w:numId="19">
    <w:abstractNumId w:val="23"/>
  </w:num>
  <w:num w:numId="20">
    <w:abstractNumId w:val="42"/>
  </w:num>
  <w:num w:numId="21">
    <w:abstractNumId w:val="27"/>
  </w:num>
  <w:num w:numId="22">
    <w:abstractNumId w:val="30"/>
  </w:num>
  <w:num w:numId="23">
    <w:abstractNumId w:val="2"/>
  </w:num>
  <w:num w:numId="24">
    <w:abstractNumId w:val="45"/>
  </w:num>
  <w:num w:numId="25">
    <w:abstractNumId w:val="10"/>
  </w:num>
  <w:num w:numId="26">
    <w:abstractNumId w:val="17"/>
  </w:num>
  <w:num w:numId="27">
    <w:abstractNumId w:val="24"/>
  </w:num>
  <w:num w:numId="28">
    <w:abstractNumId w:val="8"/>
  </w:num>
  <w:num w:numId="29">
    <w:abstractNumId w:val="16"/>
  </w:num>
  <w:num w:numId="30">
    <w:abstractNumId w:val="29"/>
  </w:num>
  <w:num w:numId="31">
    <w:abstractNumId w:val="28"/>
  </w:num>
  <w:num w:numId="32">
    <w:abstractNumId w:val="32"/>
  </w:num>
  <w:num w:numId="33">
    <w:abstractNumId w:val="5"/>
  </w:num>
  <w:num w:numId="34">
    <w:abstractNumId w:val="7"/>
  </w:num>
  <w:num w:numId="35">
    <w:abstractNumId w:val="34"/>
  </w:num>
  <w:num w:numId="36">
    <w:abstractNumId w:val="13"/>
  </w:num>
  <w:num w:numId="37">
    <w:abstractNumId w:val="39"/>
  </w:num>
  <w:num w:numId="38">
    <w:abstractNumId w:val="12"/>
  </w:num>
  <w:num w:numId="39">
    <w:abstractNumId w:val="35"/>
  </w:num>
  <w:num w:numId="40">
    <w:abstractNumId w:val="0"/>
  </w:num>
  <w:num w:numId="41">
    <w:abstractNumId w:val="9"/>
  </w:num>
  <w:num w:numId="42">
    <w:abstractNumId w:val="44"/>
  </w:num>
  <w:num w:numId="43">
    <w:abstractNumId w:val="4"/>
  </w:num>
  <w:num w:numId="44">
    <w:abstractNumId w:val="26"/>
  </w:num>
  <w:num w:numId="45">
    <w:abstractNumId w:val="4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82"/>
    <w:rsid w:val="000152A5"/>
    <w:rsid w:val="000218C6"/>
    <w:rsid w:val="0004104D"/>
    <w:rsid w:val="0004323D"/>
    <w:rsid w:val="00066F0A"/>
    <w:rsid w:val="000919D3"/>
    <w:rsid w:val="000B3D37"/>
    <w:rsid w:val="000F3A89"/>
    <w:rsid w:val="00123BA4"/>
    <w:rsid w:val="00133E61"/>
    <w:rsid w:val="001808A6"/>
    <w:rsid w:val="001970F3"/>
    <w:rsid w:val="001D262D"/>
    <w:rsid w:val="001F2C73"/>
    <w:rsid w:val="00213C0B"/>
    <w:rsid w:val="00232B91"/>
    <w:rsid w:val="002501EA"/>
    <w:rsid w:val="002F610B"/>
    <w:rsid w:val="00343F2F"/>
    <w:rsid w:val="003B618A"/>
    <w:rsid w:val="003B7B55"/>
    <w:rsid w:val="0047066D"/>
    <w:rsid w:val="00490A39"/>
    <w:rsid w:val="004960F3"/>
    <w:rsid w:val="004A3880"/>
    <w:rsid w:val="004C248C"/>
    <w:rsid w:val="004C30FA"/>
    <w:rsid w:val="004D5BD8"/>
    <w:rsid w:val="004F0A43"/>
    <w:rsid w:val="00555163"/>
    <w:rsid w:val="0059478C"/>
    <w:rsid w:val="005C0EF1"/>
    <w:rsid w:val="005C66C6"/>
    <w:rsid w:val="005D6EE1"/>
    <w:rsid w:val="005E36EB"/>
    <w:rsid w:val="006146F9"/>
    <w:rsid w:val="00634305"/>
    <w:rsid w:val="006418E6"/>
    <w:rsid w:val="00665DAA"/>
    <w:rsid w:val="006B2A10"/>
    <w:rsid w:val="006B2F47"/>
    <w:rsid w:val="006C2765"/>
    <w:rsid w:val="006E23FB"/>
    <w:rsid w:val="0070113D"/>
    <w:rsid w:val="00706543"/>
    <w:rsid w:val="00713264"/>
    <w:rsid w:val="00753C48"/>
    <w:rsid w:val="00782ADD"/>
    <w:rsid w:val="007D4403"/>
    <w:rsid w:val="00804A5D"/>
    <w:rsid w:val="0082113F"/>
    <w:rsid w:val="00846C56"/>
    <w:rsid w:val="00863651"/>
    <w:rsid w:val="008732D4"/>
    <w:rsid w:val="008D3074"/>
    <w:rsid w:val="008E10F0"/>
    <w:rsid w:val="008E6730"/>
    <w:rsid w:val="00901C18"/>
    <w:rsid w:val="00906FAB"/>
    <w:rsid w:val="00945768"/>
    <w:rsid w:val="00945EC5"/>
    <w:rsid w:val="00953E0C"/>
    <w:rsid w:val="00A01322"/>
    <w:rsid w:val="00A04398"/>
    <w:rsid w:val="00A1191B"/>
    <w:rsid w:val="00A37B93"/>
    <w:rsid w:val="00A9608A"/>
    <w:rsid w:val="00AC67DB"/>
    <w:rsid w:val="00AD63A0"/>
    <w:rsid w:val="00B13580"/>
    <w:rsid w:val="00B15299"/>
    <w:rsid w:val="00B53E13"/>
    <w:rsid w:val="00BA6793"/>
    <w:rsid w:val="00BF6CCA"/>
    <w:rsid w:val="00C03BBF"/>
    <w:rsid w:val="00C3790F"/>
    <w:rsid w:val="00C6224B"/>
    <w:rsid w:val="00C638AD"/>
    <w:rsid w:val="00C75C8F"/>
    <w:rsid w:val="00CA427A"/>
    <w:rsid w:val="00CA5082"/>
    <w:rsid w:val="00CD28EB"/>
    <w:rsid w:val="00CF5E17"/>
    <w:rsid w:val="00D03B7C"/>
    <w:rsid w:val="00D37595"/>
    <w:rsid w:val="00D45494"/>
    <w:rsid w:val="00D46F5E"/>
    <w:rsid w:val="00D65CBE"/>
    <w:rsid w:val="00D82CFD"/>
    <w:rsid w:val="00E17335"/>
    <w:rsid w:val="00E23D87"/>
    <w:rsid w:val="00E378FF"/>
    <w:rsid w:val="00E6091E"/>
    <w:rsid w:val="00F144C4"/>
    <w:rsid w:val="00F456E8"/>
    <w:rsid w:val="00F56B33"/>
    <w:rsid w:val="00F74173"/>
    <w:rsid w:val="00FA5F5E"/>
    <w:rsid w:val="00FB1516"/>
    <w:rsid w:val="00FC0E11"/>
    <w:rsid w:val="00FF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8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CA5082"/>
    <w:pPr>
      <w:keepNext/>
      <w:jc w:val="center"/>
      <w:outlineLvl w:val="0"/>
    </w:pPr>
    <w:rPr>
      <w:rFonts w:ascii="Garamond" w:hAnsi="Garamond"/>
      <w:b/>
      <w:bCs/>
      <w:color w:val="000080"/>
      <w:sz w:val="28"/>
    </w:rPr>
  </w:style>
  <w:style w:type="paragraph" w:styleId="Heading2">
    <w:name w:val="heading 2"/>
    <w:basedOn w:val="Normal"/>
    <w:next w:val="Normal"/>
    <w:link w:val="Heading2Char"/>
    <w:uiPriority w:val="9"/>
    <w:semiHidden/>
    <w:unhideWhenUsed/>
    <w:qFormat/>
    <w:rsid w:val="00CA50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A508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082"/>
    <w:rPr>
      <w:rFonts w:ascii="Garamond" w:eastAsia="Times New Roman" w:hAnsi="Garamond" w:cs="Times New Roman"/>
      <w:b/>
      <w:bCs/>
      <w:color w:val="000080"/>
      <w:sz w:val="28"/>
      <w:szCs w:val="20"/>
    </w:rPr>
  </w:style>
  <w:style w:type="character" w:styleId="Hyperlink">
    <w:name w:val="Hyperlink"/>
    <w:semiHidden/>
    <w:rsid w:val="00CA5082"/>
    <w:rPr>
      <w:color w:val="0000FF"/>
      <w:u w:val="single"/>
    </w:rPr>
  </w:style>
  <w:style w:type="paragraph" w:styleId="Header">
    <w:name w:val="header"/>
    <w:basedOn w:val="Normal"/>
    <w:link w:val="HeaderChar"/>
    <w:semiHidden/>
    <w:rsid w:val="00CA5082"/>
    <w:pPr>
      <w:tabs>
        <w:tab w:val="center" w:pos="4320"/>
        <w:tab w:val="right" w:pos="8640"/>
      </w:tabs>
    </w:pPr>
  </w:style>
  <w:style w:type="character" w:customStyle="1" w:styleId="HeaderChar">
    <w:name w:val="Header Char"/>
    <w:basedOn w:val="DefaultParagraphFont"/>
    <w:link w:val="Header"/>
    <w:semiHidden/>
    <w:rsid w:val="00CA5082"/>
    <w:rPr>
      <w:rFonts w:ascii="Arial" w:eastAsia="Times New Roman" w:hAnsi="Arial" w:cs="Times New Roman"/>
      <w:sz w:val="24"/>
      <w:szCs w:val="20"/>
    </w:rPr>
  </w:style>
  <w:style w:type="paragraph" w:styleId="Footer">
    <w:name w:val="footer"/>
    <w:basedOn w:val="Normal"/>
    <w:link w:val="FooterChar"/>
    <w:uiPriority w:val="99"/>
    <w:rsid w:val="00CA5082"/>
    <w:pPr>
      <w:tabs>
        <w:tab w:val="center" w:pos="4320"/>
        <w:tab w:val="right" w:pos="8640"/>
      </w:tabs>
    </w:pPr>
  </w:style>
  <w:style w:type="character" w:customStyle="1" w:styleId="FooterChar">
    <w:name w:val="Footer Char"/>
    <w:basedOn w:val="DefaultParagraphFont"/>
    <w:link w:val="Footer"/>
    <w:uiPriority w:val="99"/>
    <w:rsid w:val="00CA5082"/>
    <w:rPr>
      <w:rFonts w:ascii="Arial" w:eastAsia="Times New Roman" w:hAnsi="Arial" w:cs="Times New Roman"/>
      <w:sz w:val="24"/>
      <w:szCs w:val="20"/>
    </w:rPr>
  </w:style>
  <w:style w:type="paragraph" w:styleId="Title">
    <w:name w:val="Title"/>
    <w:basedOn w:val="Normal"/>
    <w:link w:val="TitleChar"/>
    <w:qFormat/>
    <w:rsid w:val="00CA5082"/>
    <w:pPr>
      <w:jc w:val="center"/>
    </w:pPr>
    <w:rPr>
      <w:rFonts w:cs="Arial"/>
      <w:sz w:val="32"/>
      <w:szCs w:val="24"/>
    </w:rPr>
  </w:style>
  <w:style w:type="character" w:customStyle="1" w:styleId="TitleChar">
    <w:name w:val="Title Char"/>
    <w:basedOn w:val="DefaultParagraphFont"/>
    <w:link w:val="Title"/>
    <w:rsid w:val="00CA5082"/>
    <w:rPr>
      <w:rFonts w:ascii="Arial" w:eastAsia="Times New Roman" w:hAnsi="Arial" w:cs="Arial"/>
      <w:sz w:val="32"/>
      <w:szCs w:val="24"/>
    </w:rPr>
  </w:style>
  <w:style w:type="paragraph" w:customStyle="1" w:styleId="H2">
    <w:name w:val="H2"/>
    <w:basedOn w:val="Normal"/>
    <w:next w:val="Normal"/>
    <w:rsid w:val="00CA5082"/>
    <w:pPr>
      <w:keepNext/>
      <w:autoSpaceDE w:val="0"/>
      <w:autoSpaceDN w:val="0"/>
      <w:adjustRightInd w:val="0"/>
      <w:spacing w:before="100" w:after="100"/>
      <w:outlineLvl w:val="2"/>
    </w:pPr>
    <w:rPr>
      <w:rFonts w:ascii="Times New Roman" w:hAnsi="Times New Roman"/>
      <w:b/>
      <w:bCs/>
      <w:sz w:val="36"/>
      <w:szCs w:val="36"/>
    </w:rPr>
  </w:style>
  <w:style w:type="paragraph" w:customStyle="1" w:styleId="H3">
    <w:name w:val="H3"/>
    <w:basedOn w:val="Normal"/>
    <w:next w:val="Normal"/>
    <w:rsid w:val="00CA5082"/>
    <w:pPr>
      <w:keepNext/>
      <w:autoSpaceDE w:val="0"/>
      <w:autoSpaceDN w:val="0"/>
      <w:adjustRightInd w:val="0"/>
      <w:spacing w:before="100" w:after="100"/>
      <w:outlineLvl w:val="3"/>
    </w:pPr>
    <w:rPr>
      <w:rFonts w:ascii="Times New Roman" w:hAnsi="Times New Roman"/>
      <w:b/>
      <w:bCs/>
      <w:sz w:val="28"/>
      <w:szCs w:val="28"/>
    </w:rPr>
  </w:style>
  <w:style w:type="paragraph" w:customStyle="1" w:styleId="Blockquote">
    <w:name w:val="Blockquote"/>
    <w:basedOn w:val="Normal"/>
    <w:rsid w:val="00CA5082"/>
    <w:pPr>
      <w:autoSpaceDE w:val="0"/>
      <w:autoSpaceDN w:val="0"/>
      <w:adjustRightInd w:val="0"/>
      <w:spacing w:before="100" w:after="100"/>
      <w:ind w:left="360" w:right="360"/>
    </w:pPr>
    <w:rPr>
      <w:rFonts w:ascii="Times New Roman" w:hAnsi="Times New Roman"/>
      <w:szCs w:val="24"/>
    </w:rPr>
  </w:style>
  <w:style w:type="paragraph" w:styleId="BodyTextIndent">
    <w:name w:val="Body Text Indent"/>
    <w:basedOn w:val="Normal"/>
    <w:link w:val="BodyTextIndentChar"/>
    <w:semiHidden/>
    <w:rsid w:val="00CA5082"/>
    <w:pPr>
      <w:ind w:left="720"/>
    </w:pPr>
    <w:rPr>
      <w:rFonts w:ascii="Times New Roman" w:hAnsi="Times New Roman"/>
      <w:sz w:val="22"/>
      <w:szCs w:val="24"/>
    </w:rPr>
  </w:style>
  <w:style w:type="character" w:customStyle="1" w:styleId="BodyTextIndentChar">
    <w:name w:val="Body Text Indent Char"/>
    <w:basedOn w:val="DefaultParagraphFont"/>
    <w:link w:val="BodyTextIndent"/>
    <w:semiHidden/>
    <w:rsid w:val="00CA5082"/>
    <w:rPr>
      <w:rFonts w:ascii="Times New Roman" w:eastAsia="Times New Roman" w:hAnsi="Times New Roman" w:cs="Times New Roman"/>
      <w:szCs w:val="24"/>
    </w:rPr>
  </w:style>
  <w:style w:type="paragraph" w:styleId="ListParagraph">
    <w:name w:val="List Paragraph"/>
    <w:basedOn w:val="Normal"/>
    <w:uiPriority w:val="34"/>
    <w:qFormat/>
    <w:rsid w:val="00CA5082"/>
    <w:pPr>
      <w:ind w:left="720"/>
    </w:pPr>
    <w:rPr>
      <w:rFonts w:ascii="Times New Roman" w:hAnsi="Times New Roman"/>
      <w:szCs w:val="24"/>
    </w:rPr>
  </w:style>
  <w:style w:type="paragraph" w:styleId="NoSpacing">
    <w:name w:val="No Spacing"/>
    <w:uiPriority w:val="1"/>
    <w:qFormat/>
    <w:rsid w:val="00CA5082"/>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semiHidden/>
    <w:rsid w:val="00CA508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A5082"/>
    <w:rPr>
      <w:rFonts w:asciiTheme="majorHAnsi" w:eastAsiaTheme="majorEastAsia" w:hAnsiTheme="majorHAnsi" w:cstheme="majorBidi"/>
      <w:b/>
      <w:bCs/>
      <w:i/>
      <w:iCs/>
      <w:color w:val="4F81BD" w:themeColor="accent1"/>
      <w:sz w:val="24"/>
      <w:szCs w:val="20"/>
    </w:rPr>
  </w:style>
  <w:style w:type="character" w:styleId="FollowedHyperlink">
    <w:name w:val="FollowedHyperlink"/>
    <w:basedOn w:val="DefaultParagraphFont"/>
    <w:uiPriority w:val="99"/>
    <w:semiHidden/>
    <w:unhideWhenUsed/>
    <w:rsid w:val="004C30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8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CA5082"/>
    <w:pPr>
      <w:keepNext/>
      <w:jc w:val="center"/>
      <w:outlineLvl w:val="0"/>
    </w:pPr>
    <w:rPr>
      <w:rFonts w:ascii="Garamond" w:hAnsi="Garamond"/>
      <w:b/>
      <w:bCs/>
      <w:color w:val="000080"/>
      <w:sz w:val="28"/>
    </w:rPr>
  </w:style>
  <w:style w:type="paragraph" w:styleId="Heading2">
    <w:name w:val="heading 2"/>
    <w:basedOn w:val="Normal"/>
    <w:next w:val="Normal"/>
    <w:link w:val="Heading2Char"/>
    <w:uiPriority w:val="9"/>
    <w:semiHidden/>
    <w:unhideWhenUsed/>
    <w:qFormat/>
    <w:rsid w:val="00CA50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A508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082"/>
    <w:rPr>
      <w:rFonts w:ascii="Garamond" w:eastAsia="Times New Roman" w:hAnsi="Garamond" w:cs="Times New Roman"/>
      <w:b/>
      <w:bCs/>
      <w:color w:val="000080"/>
      <w:sz w:val="28"/>
      <w:szCs w:val="20"/>
    </w:rPr>
  </w:style>
  <w:style w:type="character" w:styleId="Hyperlink">
    <w:name w:val="Hyperlink"/>
    <w:semiHidden/>
    <w:rsid w:val="00CA5082"/>
    <w:rPr>
      <w:color w:val="0000FF"/>
      <w:u w:val="single"/>
    </w:rPr>
  </w:style>
  <w:style w:type="paragraph" w:styleId="Header">
    <w:name w:val="header"/>
    <w:basedOn w:val="Normal"/>
    <w:link w:val="HeaderChar"/>
    <w:semiHidden/>
    <w:rsid w:val="00CA5082"/>
    <w:pPr>
      <w:tabs>
        <w:tab w:val="center" w:pos="4320"/>
        <w:tab w:val="right" w:pos="8640"/>
      </w:tabs>
    </w:pPr>
  </w:style>
  <w:style w:type="character" w:customStyle="1" w:styleId="HeaderChar">
    <w:name w:val="Header Char"/>
    <w:basedOn w:val="DefaultParagraphFont"/>
    <w:link w:val="Header"/>
    <w:semiHidden/>
    <w:rsid w:val="00CA5082"/>
    <w:rPr>
      <w:rFonts w:ascii="Arial" w:eastAsia="Times New Roman" w:hAnsi="Arial" w:cs="Times New Roman"/>
      <w:sz w:val="24"/>
      <w:szCs w:val="20"/>
    </w:rPr>
  </w:style>
  <w:style w:type="paragraph" w:styleId="Footer">
    <w:name w:val="footer"/>
    <w:basedOn w:val="Normal"/>
    <w:link w:val="FooterChar"/>
    <w:uiPriority w:val="99"/>
    <w:rsid w:val="00CA5082"/>
    <w:pPr>
      <w:tabs>
        <w:tab w:val="center" w:pos="4320"/>
        <w:tab w:val="right" w:pos="8640"/>
      </w:tabs>
    </w:pPr>
  </w:style>
  <w:style w:type="character" w:customStyle="1" w:styleId="FooterChar">
    <w:name w:val="Footer Char"/>
    <w:basedOn w:val="DefaultParagraphFont"/>
    <w:link w:val="Footer"/>
    <w:uiPriority w:val="99"/>
    <w:rsid w:val="00CA5082"/>
    <w:rPr>
      <w:rFonts w:ascii="Arial" w:eastAsia="Times New Roman" w:hAnsi="Arial" w:cs="Times New Roman"/>
      <w:sz w:val="24"/>
      <w:szCs w:val="20"/>
    </w:rPr>
  </w:style>
  <w:style w:type="paragraph" w:styleId="Title">
    <w:name w:val="Title"/>
    <w:basedOn w:val="Normal"/>
    <w:link w:val="TitleChar"/>
    <w:qFormat/>
    <w:rsid w:val="00CA5082"/>
    <w:pPr>
      <w:jc w:val="center"/>
    </w:pPr>
    <w:rPr>
      <w:rFonts w:cs="Arial"/>
      <w:sz w:val="32"/>
      <w:szCs w:val="24"/>
    </w:rPr>
  </w:style>
  <w:style w:type="character" w:customStyle="1" w:styleId="TitleChar">
    <w:name w:val="Title Char"/>
    <w:basedOn w:val="DefaultParagraphFont"/>
    <w:link w:val="Title"/>
    <w:rsid w:val="00CA5082"/>
    <w:rPr>
      <w:rFonts w:ascii="Arial" w:eastAsia="Times New Roman" w:hAnsi="Arial" w:cs="Arial"/>
      <w:sz w:val="32"/>
      <w:szCs w:val="24"/>
    </w:rPr>
  </w:style>
  <w:style w:type="paragraph" w:customStyle="1" w:styleId="H2">
    <w:name w:val="H2"/>
    <w:basedOn w:val="Normal"/>
    <w:next w:val="Normal"/>
    <w:rsid w:val="00CA5082"/>
    <w:pPr>
      <w:keepNext/>
      <w:autoSpaceDE w:val="0"/>
      <w:autoSpaceDN w:val="0"/>
      <w:adjustRightInd w:val="0"/>
      <w:spacing w:before="100" w:after="100"/>
      <w:outlineLvl w:val="2"/>
    </w:pPr>
    <w:rPr>
      <w:rFonts w:ascii="Times New Roman" w:hAnsi="Times New Roman"/>
      <w:b/>
      <w:bCs/>
      <w:sz w:val="36"/>
      <w:szCs w:val="36"/>
    </w:rPr>
  </w:style>
  <w:style w:type="paragraph" w:customStyle="1" w:styleId="H3">
    <w:name w:val="H3"/>
    <w:basedOn w:val="Normal"/>
    <w:next w:val="Normal"/>
    <w:rsid w:val="00CA5082"/>
    <w:pPr>
      <w:keepNext/>
      <w:autoSpaceDE w:val="0"/>
      <w:autoSpaceDN w:val="0"/>
      <w:adjustRightInd w:val="0"/>
      <w:spacing w:before="100" w:after="100"/>
      <w:outlineLvl w:val="3"/>
    </w:pPr>
    <w:rPr>
      <w:rFonts w:ascii="Times New Roman" w:hAnsi="Times New Roman"/>
      <w:b/>
      <w:bCs/>
      <w:sz w:val="28"/>
      <w:szCs w:val="28"/>
    </w:rPr>
  </w:style>
  <w:style w:type="paragraph" w:customStyle="1" w:styleId="Blockquote">
    <w:name w:val="Blockquote"/>
    <w:basedOn w:val="Normal"/>
    <w:rsid w:val="00CA5082"/>
    <w:pPr>
      <w:autoSpaceDE w:val="0"/>
      <w:autoSpaceDN w:val="0"/>
      <w:adjustRightInd w:val="0"/>
      <w:spacing w:before="100" w:after="100"/>
      <w:ind w:left="360" w:right="360"/>
    </w:pPr>
    <w:rPr>
      <w:rFonts w:ascii="Times New Roman" w:hAnsi="Times New Roman"/>
      <w:szCs w:val="24"/>
    </w:rPr>
  </w:style>
  <w:style w:type="paragraph" w:styleId="BodyTextIndent">
    <w:name w:val="Body Text Indent"/>
    <w:basedOn w:val="Normal"/>
    <w:link w:val="BodyTextIndentChar"/>
    <w:semiHidden/>
    <w:rsid w:val="00CA5082"/>
    <w:pPr>
      <w:ind w:left="720"/>
    </w:pPr>
    <w:rPr>
      <w:rFonts w:ascii="Times New Roman" w:hAnsi="Times New Roman"/>
      <w:sz w:val="22"/>
      <w:szCs w:val="24"/>
    </w:rPr>
  </w:style>
  <w:style w:type="character" w:customStyle="1" w:styleId="BodyTextIndentChar">
    <w:name w:val="Body Text Indent Char"/>
    <w:basedOn w:val="DefaultParagraphFont"/>
    <w:link w:val="BodyTextIndent"/>
    <w:semiHidden/>
    <w:rsid w:val="00CA5082"/>
    <w:rPr>
      <w:rFonts w:ascii="Times New Roman" w:eastAsia="Times New Roman" w:hAnsi="Times New Roman" w:cs="Times New Roman"/>
      <w:szCs w:val="24"/>
    </w:rPr>
  </w:style>
  <w:style w:type="paragraph" w:styleId="ListParagraph">
    <w:name w:val="List Paragraph"/>
    <w:basedOn w:val="Normal"/>
    <w:uiPriority w:val="34"/>
    <w:qFormat/>
    <w:rsid w:val="00CA5082"/>
    <w:pPr>
      <w:ind w:left="720"/>
    </w:pPr>
    <w:rPr>
      <w:rFonts w:ascii="Times New Roman" w:hAnsi="Times New Roman"/>
      <w:szCs w:val="24"/>
    </w:rPr>
  </w:style>
  <w:style w:type="paragraph" w:styleId="NoSpacing">
    <w:name w:val="No Spacing"/>
    <w:uiPriority w:val="1"/>
    <w:qFormat/>
    <w:rsid w:val="00CA5082"/>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semiHidden/>
    <w:rsid w:val="00CA508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A5082"/>
    <w:rPr>
      <w:rFonts w:asciiTheme="majorHAnsi" w:eastAsiaTheme="majorEastAsia" w:hAnsiTheme="majorHAnsi" w:cstheme="majorBidi"/>
      <w:b/>
      <w:bCs/>
      <w:i/>
      <w:iCs/>
      <w:color w:val="4F81BD" w:themeColor="accent1"/>
      <w:sz w:val="24"/>
      <w:szCs w:val="20"/>
    </w:rPr>
  </w:style>
  <w:style w:type="character" w:styleId="FollowedHyperlink">
    <w:name w:val="FollowedHyperlink"/>
    <w:basedOn w:val="DefaultParagraphFont"/>
    <w:uiPriority w:val="99"/>
    <w:semiHidden/>
    <w:unhideWhenUsed/>
    <w:rsid w:val="004C3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gov/dds/lib/dds/dds_manual/id_quality/risk_mgmt/pr_013_risk_management_individual_safety_screening.pdf" TargetMode="External"/><Relationship Id="rId13" Type="http://schemas.openxmlformats.org/officeDocument/2006/relationships/hyperlink" Target="http://www.ct.gov/dds/lib/dds/dds_manual/ih/hs_16-2_attachment_d_reflux_precautions.docx"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t.gov/dds/lib/dds/dds_manual/ih/hs_16-2_attachment_c_aspiration_precautions.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t.gov/dds/lib/dds/dds_manual/ih/hs_16-2_attachment_g_individual_meal_observation_form.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t.gov/dds/lib/dds/dds_manual/ih/hs_16-2_attachment_b_bedside_swallow_evaluation.docx" TargetMode="External"/><Relationship Id="rId5" Type="http://schemas.openxmlformats.org/officeDocument/2006/relationships/webSettings" Target="webSettings.xml"/><Relationship Id="rId15" Type="http://schemas.openxmlformats.org/officeDocument/2006/relationships/hyperlink" Target="http://www.ct.gov/dds/lib/dds/dds_manual/ih/hs_16-2_attachment_f_site_meal_observation_form.docx" TargetMode="External"/><Relationship Id="rId10" Type="http://schemas.openxmlformats.org/officeDocument/2006/relationships/hyperlink" Target="http://www.ct.gov/dds/lib/dds/dds_manual/ih/hs_16-2_attachment_a_swallowing_episode_report_form.doc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roedinc.com" TargetMode="External"/><Relationship Id="rId14" Type="http://schemas.openxmlformats.org/officeDocument/2006/relationships/hyperlink" Target="http://www.ct.gov/dds/lib/dds/dds_manual/ih/hs_16-2_attachment_e_guidelines_for_consistency_modifications_of_foods_and_liquid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OConnorRo</dc:creator>
  <cp:lastModifiedBy>OConnorRo</cp:lastModifiedBy>
  <cp:revision>7</cp:revision>
  <cp:lastPrinted>2016-08-29T14:30:00Z</cp:lastPrinted>
  <dcterms:created xsi:type="dcterms:W3CDTF">2016-11-28T13:18:00Z</dcterms:created>
  <dcterms:modified xsi:type="dcterms:W3CDTF">2016-12-01T20:09:00Z</dcterms:modified>
</cp:coreProperties>
</file>