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654B0" w14:textId="0E01ECFD" w:rsidR="00551FDB" w:rsidRPr="00231320" w:rsidRDefault="00551FDB">
      <w:pPr>
        <w:pStyle w:val="Title"/>
        <w:tabs>
          <w:tab w:val="left" w:pos="360"/>
          <w:tab w:val="left" w:pos="5400"/>
          <w:tab w:val="left" w:pos="6660"/>
        </w:tabs>
        <w:jc w:val="left"/>
        <w:rPr>
          <w:b w:val="0"/>
          <w:bCs w:val="0"/>
          <w:sz w:val="24"/>
        </w:rPr>
      </w:pPr>
      <w:r w:rsidRPr="00231320">
        <w:rPr>
          <w:sz w:val="24"/>
        </w:rPr>
        <w:t xml:space="preserve">Procedure No:  </w:t>
      </w:r>
      <w:r w:rsidR="004D4111" w:rsidRPr="004D4111">
        <w:rPr>
          <w:b w:val="0"/>
          <w:sz w:val="24"/>
        </w:rPr>
        <w:t>I.F.PR.01</w:t>
      </w:r>
      <w:r w:rsidR="008B4B76">
        <w:rPr>
          <w:b w:val="0"/>
          <w:sz w:val="24"/>
        </w:rPr>
        <w:t>3</w:t>
      </w:r>
      <w:r w:rsidR="003A17DD">
        <w:rPr>
          <w:sz w:val="24"/>
        </w:rPr>
        <w:tab/>
      </w:r>
      <w:r w:rsidRPr="00231320">
        <w:rPr>
          <w:sz w:val="24"/>
        </w:rPr>
        <w:t xml:space="preserve">Issue Date:  </w:t>
      </w:r>
      <w:r w:rsidR="00183B2B" w:rsidRPr="00231320">
        <w:rPr>
          <w:b w:val="0"/>
          <w:sz w:val="24"/>
        </w:rPr>
        <w:t>June 28, 2010</w:t>
      </w:r>
    </w:p>
    <w:p w14:paraId="542BE111" w14:textId="77777777" w:rsidR="00551FDB" w:rsidRDefault="004D4111">
      <w:pPr>
        <w:pStyle w:val="Title"/>
        <w:tabs>
          <w:tab w:val="left" w:pos="360"/>
          <w:tab w:val="left" w:pos="5400"/>
          <w:tab w:val="left" w:pos="6660"/>
        </w:tabs>
        <w:jc w:val="left"/>
        <w:rPr>
          <w:b w:val="0"/>
          <w:bCs w:val="0"/>
          <w:sz w:val="24"/>
        </w:rPr>
      </w:pPr>
      <w:r w:rsidRPr="004D4111">
        <w:rPr>
          <w:b w:val="0"/>
          <w:bCs w:val="0"/>
          <w:sz w:val="24"/>
        </w:rPr>
        <w:t>(Formerly I.F.PO.002.PR.001</w:t>
      </w:r>
      <w:r>
        <w:rPr>
          <w:b w:val="0"/>
          <w:bCs w:val="0"/>
          <w:sz w:val="24"/>
        </w:rPr>
        <w:t>)</w:t>
      </w:r>
      <w:r w:rsidR="00551FDB" w:rsidRPr="00231320">
        <w:rPr>
          <w:sz w:val="24"/>
        </w:rPr>
        <w:tab/>
        <w:t xml:space="preserve">Effective Date:  </w:t>
      </w:r>
      <w:r w:rsidR="00551FDB" w:rsidRPr="00231320">
        <w:rPr>
          <w:b w:val="0"/>
          <w:bCs w:val="0"/>
          <w:sz w:val="24"/>
        </w:rPr>
        <w:t>Upon Release</w:t>
      </w:r>
    </w:p>
    <w:p w14:paraId="32663034" w14:textId="5B704B26" w:rsidR="002F1BD3" w:rsidRPr="00231320" w:rsidRDefault="004D4111">
      <w:pPr>
        <w:pStyle w:val="Title"/>
        <w:tabs>
          <w:tab w:val="left" w:pos="360"/>
          <w:tab w:val="left" w:pos="5400"/>
          <w:tab w:val="left" w:pos="6660"/>
        </w:tabs>
        <w:jc w:val="left"/>
        <w:rPr>
          <w:b w:val="0"/>
          <w:bCs w:val="0"/>
          <w:sz w:val="24"/>
        </w:rPr>
      </w:pPr>
      <w:r w:rsidRPr="00231320">
        <w:rPr>
          <w:sz w:val="24"/>
        </w:rPr>
        <w:t xml:space="preserve">Subject:  </w:t>
      </w:r>
      <w:r w:rsidR="00300E90">
        <w:rPr>
          <w:sz w:val="24"/>
        </w:rPr>
        <w:t xml:space="preserve">Residential </w:t>
      </w:r>
      <w:r w:rsidRPr="00231320">
        <w:rPr>
          <w:sz w:val="24"/>
        </w:rPr>
        <w:t>Transfer</w:t>
      </w:r>
      <w:r w:rsidR="00300E90">
        <w:rPr>
          <w:sz w:val="24"/>
        </w:rPr>
        <w:t>s</w:t>
      </w:r>
      <w:r w:rsidR="002F1BD3">
        <w:rPr>
          <w:b w:val="0"/>
          <w:bCs w:val="0"/>
          <w:sz w:val="24"/>
        </w:rPr>
        <w:tab/>
      </w:r>
      <w:bookmarkStart w:id="0" w:name="_Hlk87960449"/>
      <w:r w:rsidR="002F1BD3" w:rsidRPr="002F1BD3">
        <w:rPr>
          <w:bCs w:val="0"/>
          <w:sz w:val="24"/>
        </w:rPr>
        <w:t>Revision Date:</w:t>
      </w:r>
      <w:r w:rsidR="002F1BD3">
        <w:rPr>
          <w:b w:val="0"/>
          <w:bCs w:val="0"/>
          <w:sz w:val="24"/>
        </w:rPr>
        <w:t xml:space="preserve"> September 2</w:t>
      </w:r>
      <w:r w:rsidR="000F549A">
        <w:rPr>
          <w:b w:val="0"/>
          <w:bCs w:val="0"/>
          <w:sz w:val="24"/>
        </w:rPr>
        <w:t>9</w:t>
      </w:r>
      <w:r w:rsidR="002F1BD3">
        <w:rPr>
          <w:b w:val="0"/>
          <w:bCs w:val="0"/>
          <w:sz w:val="24"/>
        </w:rPr>
        <w:t>, 2010</w:t>
      </w:r>
      <w:bookmarkEnd w:id="0"/>
    </w:p>
    <w:p w14:paraId="15540B5E" w14:textId="50449AF7" w:rsidR="004D4111" w:rsidRPr="002F54F4" w:rsidRDefault="004D4111">
      <w:pPr>
        <w:pStyle w:val="Title"/>
        <w:tabs>
          <w:tab w:val="left" w:pos="360"/>
          <w:tab w:val="left" w:pos="5400"/>
          <w:tab w:val="left" w:pos="6660"/>
        </w:tabs>
        <w:jc w:val="left"/>
        <w:rPr>
          <w:sz w:val="24"/>
        </w:rPr>
      </w:pPr>
      <w:r>
        <w:rPr>
          <w:sz w:val="24"/>
        </w:rPr>
        <w:tab/>
      </w:r>
      <w:r>
        <w:rPr>
          <w:sz w:val="24"/>
        </w:rPr>
        <w:tab/>
      </w:r>
      <w:r w:rsidRPr="002F54F4">
        <w:rPr>
          <w:bCs w:val="0"/>
          <w:sz w:val="24"/>
        </w:rPr>
        <w:t>Revision Date:</w:t>
      </w:r>
      <w:r w:rsidRPr="002F54F4">
        <w:rPr>
          <w:b w:val="0"/>
          <w:bCs w:val="0"/>
          <w:sz w:val="24"/>
        </w:rPr>
        <w:t xml:space="preserve"> </w:t>
      </w:r>
      <w:r w:rsidR="002F54F4" w:rsidRPr="002F54F4">
        <w:rPr>
          <w:b w:val="0"/>
          <w:bCs w:val="0"/>
          <w:sz w:val="24"/>
        </w:rPr>
        <w:t>July 1</w:t>
      </w:r>
      <w:r w:rsidR="002452BA" w:rsidRPr="002F54F4">
        <w:rPr>
          <w:b w:val="0"/>
          <w:bCs w:val="0"/>
          <w:sz w:val="24"/>
        </w:rPr>
        <w:t>, 202</w:t>
      </w:r>
      <w:r w:rsidR="009741E8" w:rsidRPr="002F54F4">
        <w:rPr>
          <w:b w:val="0"/>
          <w:bCs w:val="0"/>
          <w:sz w:val="24"/>
        </w:rPr>
        <w:t>3</w:t>
      </w:r>
    </w:p>
    <w:p w14:paraId="5444CBC5" w14:textId="761854A3" w:rsidR="00551FDB" w:rsidRPr="003A17DD" w:rsidRDefault="00551FDB">
      <w:pPr>
        <w:pStyle w:val="Title"/>
        <w:tabs>
          <w:tab w:val="left" w:pos="360"/>
          <w:tab w:val="left" w:pos="5400"/>
          <w:tab w:val="left" w:pos="6660"/>
        </w:tabs>
        <w:jc w:val="left"/>
        <w:rPr>
          <w:b w:val="0"/>
          <w:sz w:val="24"/>
        </w:rPr>
      </w:pPr>
      <w:r w:rsidRPr="002F54F4">
        <w:rPr>
          <w:sz w:val="24"/>
        </w:rPr>
        <w:t>Section:</w:t>
      </w:r>
      <w:r w:rsidRPr="002F54F4">
        <w:rPr>
          <w:b w:val="0"/>
          <w:bCs w:val="0"/>
          <w:sz w:val="24"/>
        </w:rPr>
        <w:t xml:space="preserve"> Human Rights and Legal Responsibilities</w:t>
      </w:r>
      <w:r w:rsidRPr="002F54F4">
        <w:rPr>
          <w:sz w:val="24"/>
        </w:rPr>
        <w:tab/>
      </w:r>
      <w:r w:rsidR="003A17DD" w:rsidRPr="002F54F4">
        <w:rPr>
          <w:bCs w:val="0"/>
          <w:sz w:val="24"/>
        </w:rPr>
        <w:t>Approved:</w:t>
      </w:r>
      <w:r w:rsidR="003A17DD" w:rsidRPr="002F54F4">
        <w:rPr>
          <w:b w:val="0"/>
          <w:bCs w:val="0"/>
          <w:sz w:val="24"/>
        </w:rPr>
        <w:t xml:space="preserve"> </w:t>
      </w:r>
      <w:r w:rsidR="003A17DD" w:rsidRPr="002F54F4">
        <w:rPr>
          <w:b w:val="0"/>
          <w:sz w:val="24"/>
        </w:rPr>
        <w:t>/s/</w:t>
      </w:r>
      <w:r w:rsidR="004D4111" w:rsidRPr="002F54F4">
        <w:rPr>
          <w:b w:val="0"/>
          <w:sz w:val="24"/>
        </w:rPr>
        <w:t>Jordan Scheff</w:t>
      </w:r>
      <w:r w:rsidR="003A17DD" w:rsidRPr="002F54F4">
        <w:rPr>
          <w:b w:val="0"/>
          <w:sz w:val="24"/>
        </w:rPr>
        <w:t>/</w:t>
      </w:r>
      <w:r w:rsidR="002F54F4" w:rsidRPr="002F54F4">
        <w:rPr>
          <w:b w:val="0"/>
          <w:sz w:val="24"/>
        </w:rPr>
        <w:t>LT</w:t>
      </w:r>
    </w:p>
    <w:p w14:paraId="6E4A2E5D" w14:textId="0CABBC51" w:rsidR="00551FDB" w:rsidRPr="002F514C" w:rsidRDefault="00551FDB" w:rsidP="00A43600">
      <w:pPr>
        <w:pStyle w:val="Title"/>
        <w:tabs>
          <w:tab w:val="left" w:pos="360"/>
        </w:tabs>
        <w:rPr>
          <w:b w:val="0"/>
          <w:sz w:val="24"/>
        </w:rPr>
      </w:pPr>
    </w:p>
    <w:p w14:paraId="2EE191E8" w14:textId="77777777" w:rsidR="00AB7AA7" w:rsidRPr="00767006" w:rsidRDefault="00AB7AA7" w:rsidP="009E5490">
      <w:pPr>
        <w:pStyle w:val="Heading6"/>
        <w:tabs>
          <w:tab w:val="clear" w:pos="540"/>
        </w:tabs>
        <w:jc w:val="center"/>
        <w:rPr>
          <w:color w:val="000000"/>
        </w:rPr>
      </w:pPr>
      <w:r w:rsidRPr="00767006">
        <w:rPr>
          <w:color w:val="000000"/>
        </w:rPr>
        <w:t>Policy Statement</w:t>
      </w:r>
    </w:p>
    <w:p w14:paraId="77940385" w14:textId="50EBDD55" w:rsidR="0003067C" w:rsidRDefault="00005264" w:rsidP="007A68DD">
      <w:pPr>
        <w:rPr>
          <w:color w:val="000000"/>
        </w:rPr>
      </w:pPr>
      <w:r w:rsidRPr="00BD5953">
        <w:rPr>
          <w:color w:val="000000"/>
        </w:rPr>
        <w:t xml:space="preserve">The </w:t>
      </w:r>
      <w:r w:rsidR="0003067C">
        <w:rPr>
          <w:color w:val="000000"/>
        </w:rPr>
        <w:t>Commissioner</w:t>
      </w:r>
      <w:r w:rsidR="0003067C" w:rsidRPr="00BD5953">
        <w:rPr>
          <w:color w:val="000000"/>
        </w:rPr>
        <w:t xml:space="preserve"> </w:t>
      </w:r>
      <w:r w:rsidRPr="00BD5953">
        <w:rPr>
          <w:color w:val="000000"/>
        </w:rPr>
        <w:t xml:space="preserve">of Developmental Services </w:t>
      </w:r>
      <w:r w:rsidR="00F15204">
        <w:rPr>
          <w:color w:val="000000"/>
        </w:rPr>
        <w:t>is allowed by state statute</w:t>
      </w:r>
      <w:r w:rsidRPr="00BD5953">
        <w:rPr>
          <w:color w:val="000000"/>
        </w:rPr>
        <w:t xml:space="preserve"> to propose a transfer for an individual who reside</w:t>
      </w:r>
      <w:r w:rsidR="00BD5953" w:rsidRPr="00BD5953">
        <w:rPr>
          <w:color w:val="000000"/>
        </w:rPr>
        <w:t>s</w:t>
      </w:r>
      <w:r w:rsidRPr="00BD5953">
        <w:rPr>
          <w:color w:val="000000"/>
        </w:rPr>
        <w:t xml:space="preserve"> in a</w:t>
      </w:r>
      <w:r w:rsidR="00192081" w:rsidRPr="00BD5953">
        <w:rPr>
          <w:color w:val="000000"/>
        </w:rPr>
        <w:t xml:space="preserve"> </w:t>
      </w:r>
      <w:r w:rsidR="00A646B8">
        <w:rPr>
          <w:color w:val="000000"/>
        </w:rPr>
        <w:t>Department of Developmental Services (</w:t>
      </w:r>
      <w:r w:rsidR="00192081" w:rsidRPr="00BD5953">
        <w:rPr>
          <w:color w:val="000000"/>
        </w:rPr>
        <w:t>DDS</w:t>
      </w:r>
      <w:r w:rsidR="00A646B8">
        <w:rPr>
          <w:color w:val="000000"/>
        </w:rPr>
        <w:t>)</w:t>
      </w:r>
      <w:r w:rsidR="00BD5953" w:rsidRPr="00BD5953">
        <w:rPr>
          <w:color w:val="000000"/>
        </w:rPr>
        <w:t>-</w:t>
      </w:r>
      <w:r w:rsidR="00192081" w:rsidRPr="00BD5953">
        <w:rPr>
          <w:color w:val="000000"/>
        </w:rPr>
        <w:t>funded</w:t>
      </w:r>
      <w:r w:rsidRPr="00BD5953">
        <w:rPr>
          <w:color w:val="000000"/>
        </w:rPr>
        <w:t xml:space="preserve"> residential facility that no longer meets the </w:t>
      </w:r>
      <w:r w:rsidR="0003067C">
        <w:rPr>
          <w:color w:val="000000"/>
        </w:rPr>
        <w:t xml:space="preserve">individual’s </w:t>
      </w:r>
      <w:r w:rsidR="00787704" w:rsidRPr="00BD5953">
        <w:rPr>
          <w:color w:val="000000"/>
        </w:rPr>
        <w:t>health, safety or programmatic needs.</w:t>
      </w:r>
      <w:r w:rsidR="007A68DD" w:rsidRPr="00BD5953">
        <w:rPr>
          <w:color w:val="000000"/>
        </w:rPr>
        <w:t xml:space="preserve">  An individual subject to a proposed transfer may exercise his or her right to object to the proposed transfer prior to the transfer and provide arguments and reasons for the objection in a Uniform Administrative Procedure Act (UAPA) hearing. </w:t>
      </w:r>
    </w:p>
    <w:p w14:paraId="3C8E5708" w14:textId="77777777" w:rsidR="0003067C" w:rsidRPr="0003067C" w:rsidRDefault="0003067C" w:rsidP="007A68DD">
      <w:pPr>
        <w:rPr>
          <w:color w:val="000000"/>
          <w:sz w:val="16"/>
          <w:szCs w:val="16"/>
        </w:rPr>
      </w:pPr>
    </w:p>
    <w:p w14:paraId="027459A4" w14:textId="0457EF92" w:rsidR="007A68DD" w:rsidRPr="00BD5953" w:rsidRDefault="007A68DD" w:rsidP="007A68DD">
      <w:pPr>
        <w:rPr>
          <w:color w:val="000000"/>
        </w:rPr>
      </w:pPr>
      <w:r w:rsidRPr="00BD5953">
        <w:rPr>
          <w:color w:val="000000"/>
        </w:rPr>
        <w:t>DDS also may conduct an emergency transfer in cases where an individual’s health or safety are at imminent risk.  An individual who has been moved as an emergency transfer may exercise his or her right to object to the transfer after the emergency transfer has taken place and is afforded a UAPA hearing in which to provide arguments and reasons for the objection to the emergency transfer.</w:t>
      </w:r>
    </w:p>
    <w:p w14:paraId="49C76872" w14:textId="77777777" w:rsidR="007A68DD" w:rsidRPr="008D2BE6" w:rsidRDefault="007A68DD" w:rsidP="007A68DD">
      <w:pPr>
        <w:rPr>
          <w:color w:val="000000"/>
          <w:sz w:val="16"/>
          <w:szCs w:val="16"/>
        </w:rPr>
      </w:pPr>
    </w:p>
    <w:p w14:paraId="139AAEB2" w14:textId="35A6E27A" w:rsidR="00015D3B" w:rsidRDefault="00192081" w:rsidP="009E5490">
      <w:pPr>
        <w:ind w:right="-144"/>
        <w:rPr>
          <w:color w:val="000000"/>
        </w:rPr>
      </w:pPr>
      <w:r w:rsidRPr="00BD5953">
        <w:rPr>
          <w:color w:val="000000"/>
        </w:rPr>
        <w:t xml:space="preserve">As a state agency </w:t>
      </w:r>
      <w:r w:rsidR="001E1D2F" w:rsidRPr="00BD5953">
        <w:rPr>
          <w:color w:val="000000"/>
        </w:rPr>
        <w:t xml:space="preserve">that funds and operates residential services, it is of </w:t>
      </w:r>
      <w:r w:rsidR="001E1D2F" w:rsidRPr="002452BA">
        <w:rPr>
          <w:color w:val="000000"/>
        </w:rPr>
        <w:t xml:space="preserve">the utmost </w:t>
      </w:r>
      <w:r w:rsidR="002452BA">
        <w:rPr>
          <w:color w:val="000000"/>
        </w:rPr>
        <w:t>importance</w:t>
      </w:r>
      <w:r w:rsidR="007C0981" w:rsidRPr="00BD5953">
        <w:rPr>
          <w:color w:val="000000"/>
        </w:rPr>
        <w:t xml:space="preserve"> for DDS </w:t>
      </w:r>
      <w:r w:rsidR="001E1D2F" w:rsidRPr="00BD5953">
        <w:rPr>
          <w:color w:val="000000"/>
        </w:rPr>
        <w:t>that such services maintain a safe, healthy and developmentally appropriate living environment</w:t>
      </w:r>
      <w:r w:rsidR="0003067C">
        <w:rPr>
          <w:color w:val="000000"/>
        </w:rPr>
        <w:t xml:space="preserve"> for each individual</w:t>
      </w:r>
      <w:r w:rsidR="001E1D2F" w:rsidRPr="00BD5953">
        <w:rPr>
          <w:color w:val="000000"/>
        </w:rPr>
        <w:t>. As most residential supports are provided through one of the DDS Medicaid Home and Community Based Waivers, it is a federal requirement</w:t>
      </w:r>
      <w:r w:rsidR="007A68DD" w:rsidRPr="00BD5953">
        <w:rPr>
          <w:color w:val="000000"/>
        </w:rPr>
        <w:t>, as prescribed in the Centers for Medicare and Medicaid Services (CMS) Waiver assurances, that DDS must maintain an individual’s health and welfare as well as address all individuals’ assess</w:t>
      </w:r>
      <w:r w:rsidR="00BD5953">
        <w:rPr>
          <w:color w:val="000000"/>
        </w:rPr>
        <w:t>ed</w:t>
      </w:r>
      <w:r w:rsidR="007A68DD" w:rsidRPr="00BD5953">
        <w:rPr>
          <w:color w:val="000000"/>
        </w:rPr>
        <w:t xml:space="preserve"> needs including health and safety risk factors</w:t>
      </w:r>
      <w:r w:rsidR="00485608" w:rsidRPr="00BD5953">
        <w:rPr>
          <w:color w:val="000000"/>
        </w:rPr>
        <w:t xml:space="preserve">. The transfer process is intended to </w:t>
      </w:r>
      <w:r w:rsidR="00C6243B">
        <w:rPr>
          <w:color w:val="000000"/>
        </w:rPr>
        <w:t xml:space="preserve">mitigate </w:t>
      </w:r>
      <w:r w:rsidR="00485608" w:rsidRPr="00BD5953">
        <w:rPr>
          <w:color w:val="000000"/>
        </w:rPr>
        <w:t>these potential risk factors, as well as meet our statutory and federal obligation</w:t>
      </w:r>
      <w:r w:rsidR="007C0981" w:rsidRPr="00BD5953">
        <w:rPr>
          <w:color w:val="000000"/>
        </w:rPr>
        <w:t>s</w:t>
      </w:r>
      <w:r w:rsidR="00485608" w:rsidRPr="00BD5953">
        <w:rPr>
          <w:color w:val="000000"/>
        </w:rPr>
        <w:t>.</w:t>
      </w:r>
    </w:p>
    <w:p w14:paraId="5DD7E777" w14:textId="77777777" w:rsidR="004D4111" w:rsidRPr="004D4111" w:rsidRDefault="004D4111">
      <w:pPr>
        <w:pStyle w:val="Title"/>
        <w:tabs>
          <w:tab w:val="left" w:pos="360"/>
        </w:tabs>
        <w:jc w:val="left"/>
        <w:rPr>
          <w:b w:val="0"/>
          <w:sz w:val="24"/>
        </w:rPr>
      </w:pPr>
    </w:p>
    <w:p w14:paraId="3ED796EC" w14:textId="77777777" w:rsidR="009E5490" w:rsidRDefault="00551FDB" w:rsidP="00780068">
      <w:pPr>
        <w:pStyle w:val="Heading6"/>
        <w:numPr>
          <w:ilvl w:val="0"/>
          <w:numId w:val="27"/>
        </w:numPr>
        <w:tabs>
          <w:tab w:val="clear" w:pos="540"/>
        </w:tabs>
        <w:ind w:left="360"/>
      </w:pPr>
      <w:r w:rsidRPr="00231320">
        <w:t>Purpose</w:t>
      </w:r>
    </w:p>
    <w:p w14:paraId="6FC5BBA4" w14:textId="1F99C92F" w:rsidR="00551FDB" w:rsidRPr="0053219C" w:rsidRDefault="001A72EB" w:rsidP="009E5490">
      <w:pPr>
        <w:pStyle w:val="Title"/>
        <w:tabs>
          <w:tab w:val="left" w:pos="-180"/>
        </w:tabs>
        <w:ind w:left="360"/>
        <w:jc w:val="left"/>
        <w:rPr>
          <w:b w:val="0"/>
          <w:bCs w:val="0"/>
          <w:sz w:val="24"/>
        </w:rPr>
      </w:pPr>
      <w:r w:rsidRPr="0053219C">
        <w:rPr>
          <w:b w:val="0"/>
          <w:bCs w:val="0"/>
          <w:sz w:val="24"/>
        </w:rPr>
        <w:t>T</w:t>
      </w:r>
      <w:r w:rsidR="00551FDB" w:rsidRPr="0053219C">
        <w:rPr>
          <w:b w:val="0"/>
          <w:bCs w:val="0"/>
          <w:sz w:val="24"/>
        </w:rPr>
        <w:t>his procedure establish</w:t>
      </w:r>
      <w:r w:rsidRPr="0053219C">
        <w:rPr>
          <w:b w:val="0"/>
          <w:bCs w:val="0"/>
          <w:sz w:val="24"/>
        </w:rPr>
        <w:t>es</w:t>
      </w:r>
      <w:r w:rsidR="00551FDB" w:rsidRPr="0053219C">
        <w:rPr>
          <w:b w:val="0"/>
          <w:bCs w:val="0"/>
          <w:sz w:val="24"/>
        </w:rPr>
        <w:t xml:space="preserve"> </w:t>
      </w:r>
      <w:r w:rsidR="000D66CE" w:rsidRPr="0053219C">
        <w:rPr>
          <w:b w:val="0"/>
          <w:bCs w:val="0"/>
          <w:sz w:val="24"/>
        </w:rPr>
        <w:t>a consistent practice</w:t>
      </w:r>
      <w:r w:rsidR="00551FDB" w:rsidRPr="0053219C">
        <w:rPr>
          <w:b w:val="0"/>
          <w:bCs w:val="0"/>
          <w:sz w:val="24"/>
        </w:rPr>
        <w:t xml:space="preserve"> </w:t>
      </w:r>
      <w:r w:rsidR="000265D7" w:rsidRPr="0053219C">
        <w:rPr>
          <w:b w:val="0"/>
          <w:bCs w:val="0"/>
          <w:sz w:val="24"/>
        </w:rPr>
        <w:t xml:space="preserve">when a </w:t>
      </w:r>
      <w:r w:rsidR="0003067C" w:rsidRPr="0053219C">
        <w:rPr>
          <w:b w:val="0"/>
          <w:bCs w:val="0"/>
          <w:sz w:val="24"/>
        </w:rPr>
        <w:t xml:space="preserve">residential </w:t>
      </w:r>
      <w:r w:rsidR="000265D7" w:rsidRPr="0053219C">
        <w:rPr>
          <w:b w:val="0"/>
          <w:bCs w:val="0"/>
          <w:sz w:val="24"/>
        </w:rPr>
        <w:t xml:space="preserve">transfer is proposed by the </w:t>
      </w:r>
      <w:r w:rsidRPr="0053219C">
        <w:rPr>
          <w:b w:val="0"/>
          <w:bCs w:val="0"/>
          <w:sz w:val="24"/>
        </w:rPr>
        <w:t xml:space="preserve">DDS </w:t>
      </w:r>
      <w:r w:rsidR="000265D7" w:rsidRPr="0053219C">
        <w:rPr>
          <w:b w:val="0"/>
          <w:bCs w:val="0"/>
          <w:sz w:val="24"/>
        </w:rPr>
        <w:t>Commissioner</w:t>
      </w:r>
      <w:r w:rsidR="00A65254" w:rsidRPr="0053219C">
        <w:rPr>
          <w:b w:val="0"/>
          <w:bCs w:val="0"/>
          <w:sz w:val="24"/>
        </w:rPr>
        <w:t xml:space="preserve"> </w:t>
      </w:r>
      <w:r w:rsidR="007A3C89" w:rsidRPr="0053219C">
        <w:rPr>
          <w:b w:val="0"/>
          <w:bCs w:val="0"/>
          <w:sz w:val="24"/>
        </w:rPr>
        <w:t>for</w:t>
      </w:r>
      <w:r w:rsidR="00551FDB" w:rsidRPr="0053219C">
        <w:rPr>
          <w:b w:val="0"/>
          <w:bCs w:val="0"/>
          <w:sz w:val="24"/>
        </w:rPr>
        <w:t xml:space="preserve"> an individual from a residential facility operated, licensed, or funded by the D</w:t>
      </w:r>
      <w:r w:rsidR="002F1BD3" w:rsidRPr="0053219C">
        <w:rPr>
          <w:b w:val="0"/>
          <w:bCs w:val="0"/>
          <w:sz w:val="24"/>
        </w:rPr>
        <w:t xml:space="preserve">epartment of </w:t>
      </w:r>
      <w:r w:rsidR="00551FDB" w:rsidRPr="0053219C">
        <w:rPr>
          <w:b w:val="0"/>
          <w:bCs w:val="0"/>
          <w:sz w:val="24"/>
        </w:rPr>
        <w:t>D</w:t>
      </w:r>
      <w:r w:rsidR="002F1BD3" w:rsidRPr="0053219C">
        <w:rPr>
          <w:b w:val="0"/>
          <w:bCs w:val="0"/>
          <w:sz w:val="24"/>
        </w:rPr>
        <w:t xml:space="preserve">evelopmental </w:t>
      </w:r>
      <w:r w:rsidR="00551FDB" w:rsidRPr="0053219C">
        <w:rPr>
          <w:b w:val="0"/>
          <w:bCs w:val="0"/>
          <w:sz w:val="24"/>
        </w:rPr>
        <w:t>S</w:t>
      </w:r>
      <w:r w:rsidR="002F1BD3" w:rsidRPr="0053219C">
        <w:rPr>
          <w:b w:val="0"/>
          <w:bCs w:val="0"/>
          <w:sz w:val="24"/>
        </w:rPr>
        <w:t>ervices (DDS)</w:t>
      </w:r>
      <w:r w:rsidR="00551FDB" w:rsidRPr="0053219C">
        <w:rPr>
          <w:b w:val="0"/>
          <w:bCs w:val="0"/>
          <w:sz w:val="24"/>
        </w:rPr>
        <w:t xml:space="preserve"> to another</w:t>
      </w:r>
      <w:r w:rsidR="00BB3DDA" w:rsidRPr="0053219C">
        <w:rPr>
          <w:b w:val="0"/>
          <w:bCs w:val="0"/>
          <w:sz w:val="24"/>
        </w:rPr>
        <w:t xml:space="preserve"> </w:t>
      </w:r>
      <w:r w:rsidR="0003067C" w:rsidRPr="0053219C">
        <w:rPr>
          <w:b w:val="0"/>
          <w:bCs w:val="0"/>
          <w:sz w:val="24"/>
        </w:rPr>
        <w:t xml:space="preserve">such </w:t>
      </w:r>
      <w:r w:rsidR="006358EF" w:rsidRPr="0053219C">
        <w:rPr>
          <w:b w:val="0"/>
          <w:bCs w:val="0"/>
          <w:sz w:val="24"/>
        </w:rPr>
        <w:t>residential facility</w:t>
      </w:r>
      <w:r w:rsidR="00551FDB" w:rsidRPr="0053219C">
        <w:rPr>
          <w:b w:val="0"/>
          <w:sz w:val="24"/>
        </w:rPr>
        <w:t xml:space="preserve">. </w:t>
      </w:r>
      <w:r w:rsidR="00BB3DDA" w:rsidRPr="0053219C">
        <w:rPr>
          <w:b w:val="0"/>
          <w:sz w:val="24"/>
        </w:rPr>
        <w:t xml:space="preserve"> The procedure also establishes </w:t>
      </w:r>
      <w:r w:rsidR="00BB3DDA" w:rsidRPr="009741E8">
        <w:rPr>
          <w:b w:val="0"/>
          <w:sz w:val="24"/>
        </w:rPr>
        <w:t>the process by which</w:t>
      </w:r>
      <w:r w:rsidR="00BB3DDA" w:rsidRPr="0053219C">
        <w:rPr>
          <w:b w:val="0"/>
          <w:sz w:val="24"/>
        </w:rPr>
        <w:t xml:space="preserve"> </w:t>
      </w:r>
      <w:r w:rsidR="0053219C" w:rsidRPr="0053219C">
        <w:rPr>
          <w:b w:val="0"/>
          <w:sz w:val="24"/>
        </w:rPr>
        <w:t>a Regional or Training School Director</w:t>
      </w:r>
      <w:r w:rsidR="0053219C">
        <w:rPr>
          <w:b w:val="0"/>
          <w:sz w:val="24"/>
        </w:rPr>
        <w:t xml:space="preserve"> or</w:t>
      </w:r>
      <w:r w:rsidR="0053219C" w:rsidRPr="0053219C">
        <w:rPr>
          <w:b w:val="0"/>
          <w:sz w:val="24"/>
        </w:rPr>
        <w:t xml:space="preserve"> </w:t>
      </w:r>
      <w:r w:rsidR="00BB3DDA" w:rsidRPr="0053219C">
        <w:rPr>
          <w:b w:val="0"/>
          <w:sz w:val="24"/>
        </w:rPr>
        <w:t>a DDS qualified provider may recommend a transfer of an individual for the Commissioner</w:t>
      </w:r>
      <w:r w:rsidR="003D1192" w:rsidRPr="0053219C">
        <w:rPr>
          <w:b w:val="0"/>
          <w:sz w:val="24"/>
        </w:rPr>
        <w:t>’</w:t>
      </w:r>
      <w:r w:rsidR="00F15204" w:rsidRPr="0053219C">
        <w:rPr>
          <w:b w:val="0"/>
          <w:sz w:val="24"/>
        </w:rPr>
        <w:t xml:space="preserve">s </w:t>
      </w:r>
      <w:r w:rsidR="00BB3DDA" w:rsidRPr="0053219C">
        <w:rPr>
          <w:b w:val="0"/>
          <w:sz w:val="24"/>
        </w:rPr>
        <w:t>approval.</w:t>
      </w:r>
    </w:p>
    <w:p w14:paraId="0FBC6F9A" w14:textId="77777777" w:rsidR="00183B2B" w:rsidRPr="00231320" w:rsidRDefault="00183B2B">
      <w:pPr>
        <w:pStyle w:val="Title"/>
        <w:tabs>
          <w:tab w:val="left" w:pos="-180"/>
          <w:tab w:val="num" w:pos="360"/>
        </w:tabs>
        <w:jc w:val="left"/>
        <w:rPr>
          <w:sz w:val="24"/>
        </w:rPr>
      </w:pPr>
    </w:p>
    <w:p w14:paraId="4B122583" w14:textId="77777777" w:rsidR="00551FDB" w:rsidRPr="00231320" w:rsidRDefault="00551FDB" w:rsidP="00780068">
      <w:pPr>
        <w:pStyle w:val="Heading6"/>
        <w:numPr>
          <w:ilvl w:val="0"/>
          <w:numId w:val="27"/>
        </w:numPr>
        <w:tabs>
          <w:tab w:val="clear" w:pos="540"/>
        </w:tabs>
        <w:ind w:left="360"/>
      </w:pPr>
      <w:bookmarkStart w:id="1" w:name="_Applicability"/>
      <w:bookmarkEnd w:id="1"/>
      <w:r w:rsidRPr="00231320">
        <w:t>Applicability</w:t>
      </w:r>
    </w:p>
    <w:p w14:paraId="1235DFC5" w14:textId="6500DE34" w:rsidR="00551FDB" w:rsidRPr="00231320" w:rsidRDefault="00551FDB" w:rsidP="009E5490">
      <w:pPr>
        <w:ind w:left="360"/>
        <w:rPr>
          <w:b/>
          <w:bCs/>
          <w:strike/>
        </w:rPr>
      </w:pPr>
      <w:r w:rsidRPr="00231320">
        <w:t xml:space="preserve">This procedure </w:t>
      </w:r>
      <w:r w:rsidR="002452BA">
        <w:t xml:space="preserve">applies </w:t>
      </w:r>
      <w:r w:rsidRPr="00231320">
        <w:t xml:space="preserve">to any individual </w:t>
      </w:r>
      <w:r w:rsidR="007A3C89">
        <w:t>wh</w:t>
      </w:r>
      <w:r w:rsidRPr="00231320">
        <w:t xml:space="preserve">o resides in a residential facility that is operated, licensed, </w:t>
      </w:r>
      <w:r w:rsidRPr="00BB3DDA">
        <w:t xml:space="preserve">or </w:t>
      </w:r>
      <w:r w:rsidR="00167342" w:rsidRPr="00BB3DDA">
        <w:t>funded</w:t>
      </w:r>
      <w:r w:rsidR="00167342" w:rsidRPr="00231320">
        <w:t xml:space="preserve"> by</w:t>
      </w:r>
      <w:r w:rsidRPr="00231320">
        <w:t xml:space="preserve"> DDS</w:t>
      </w:r>
      <w:r w:rsidR="000B1304">
        <w:t>,</w:t>
      </w:r>
      <w:r w:rsidRPr="00231320">
        <w:t xml:space="preserve"> </w:t>
      </w:r>
      <w:r w:rsidR="007A3C89">
        <w:t xml:space="preserve">when </w:t>
      </w:r>
      <w:r w:rsidRPr="00231320">
        <w:t xml:space="preserve">a transfer </w:t>
      </w:r>
      <w:r w:rsidR="003B0C68">
        <w:t xml:space="preserve">from a current residential facility to another </w:t>
      </w:r>
      <w:r w:rsidR="00845164">
        <w:t>such residential facility</w:t>
      </w:r>
      <w:r w:rsidR="000D5B69">
        <w:t xml:space="preserve"> </w:t>
      </w:r>
      <w:r w:rsidRPr="00231320">
        <w:t>is proposed</w:t>
      </w:r>
      <w:r w:rsidR="000B1304">
        <w:t xml:space="preserve"> </w:t>
      </w:r>
      <w:r w:rsidR="004E7541">
        <w:t>by or recommended to the Commissioner</w:t>
      </w:r>
      <w:r w:rsidR="004E7541" w:rsidRPr="00F15204">
        <w:t xml:space="preserve"> </w:t>
      </w:r>
      <w:r w:rsidR="004E7541">
        <w:t xml:space="preserve">by a  </w:t>
      </w:r>
      <w:r w:rsidR="004E7541" w:rsidRPr="006D2A71">
        <w:t>Regional or Training School Director</w:t>
      </w:r>
      <w:r w:rsidR="004E7541">
        <w:t xml:space="preserve"> or a DDS qualified provider </w:t>
      </w:r>
      <w:r w:rsidR="00B46745">
        <w:t xml:space="preserve">or </w:t>
      </w:r>
      <w:r w:rsidR="003B0C68">
        <w:t xml:space="preserve">when </w:t>
      </w:r>
      <w:r w:rsidR="00B46745">
        <w:t xml:space="preserve">an emergency transfer has been made </w:t>
      </w:r>
      <w:r w:rsidR="000B1304">
        <w:t>by the Commissioner</w:t>
      </w:r>
      <w:r w:rsidR="009741E8">
        <w:t>.</w:t>
      </w:r>
      <w:r w:rsidR="000B1304">
        <w:t xml:space="preserve"> </w:t>
      </w:r>
    </w:p>
    <w:p w14:paraId="37D63F7D" w14:textId="77777777" w:rsidR="00AB7AA7" w:rsidRPr="008D2BE6" w:rsidRDefault="00AB7AA7" w:rsidP="009E5490">
      <w:pPr>
        <w:pStyle w:val="Header"/>
        <w:tabs>
          <w:tab w:val="clear" w:pos="4320"/>
          <w:tab w:val="clear" w:pos="8640"/>
        </w:tabs>
        <w:ind w:left="360"/>
        <w:rPr>
          <w:color w:val="000000"/>
          <w:sz w:val="16"/>
          <w:szCs w:val="16"/>
        </w:rPr>
      </w:pPr>
    </w:p>
    <w:p w14:paraId="314E7DB8" w14:textId="65F2EF72" w:rsidR="00AB7AA7" w:rsidRDefault="00AB7AA7" w:rsidP="009E5490">
      <w:pPr>
        <w:ind w:left="360"/>
        <w:rPr>
          <w:color w:val="000000"/>
        </w:rPr>
      </w:pPr>
      <w:r w:rsidRPr="003D1192">
        <w:rPr>
          <w:color w:val="000000"/>
        </w:rPr>
        <w:t xml:space="preserve">This </w:t>
      </w:r>
      <w:r w:rsidR="007A3C89" w:rsidRPr="003D1192">
        <w:rPr>
          <w:color w:val="000000"/>
        </w:rPr>
        <w:t xml:space="preserve">procedure </w:t>
      </w:r>
      <w:r w:rsidRPr="003D1192">
        <w:rPr>
          <w:color w:val="000000"/>
        </w:rPr>
        <w:t xml:space="preserve">does </w:t>
      </w:r>
      <w:r w:rsidRPr="003D1192">
        <w:rPr>
          <w:color w:val="000000"/>
          <w:u w:val="single"/>
        </w:rPr>
        <w:t>not</w:t>
      </w:r>
      <w:r w:rsidRPr="003D1192">
        <w:rPr>
          <w:color w:val="000000"/>
        </w:rPr>
        <w:t xml:space="preserve"> apply to </w:t>
      </w:r>
      <w:r w:rsidR="007A3C89" w:rsidRPr="003D1192">
        <w:rPr>
          <w:color w:val="000000"/>
        </w:rPr>
        <w:t xml:space="preserve">(1) </w:t>
      </w:r>
      <w:r w:rsidR="007E3321">
        <w:rPr>
          <w:color w:val="000000"/>
        </w:rPr>
        <w:t xml:space="preserve">a transfer of </w:t>
      </w:r>
      <w:r w:rsidRPr="003D1192">
        <w:rPr>
          <w:color w:val="000000"/>
        </w:rPr>
        <w:t>an individual from one residential unit to another within the training school or</w:t>
      </w:r>
      <w:r w:rsidR="004C530B">
        <w:rPr>
          <w:color w:val="000000"/>
        </w:rPr>
        <w:t xml:space="preserve"> </w:t>
      </w:r>
      <w:r w:rsidR="007E3321">
        <w:rPr>
          <w:color w:val="000000"/>
        </w:rPr>
        <w:t xml:space="preserve">within the </w:t>
      </w:r>
      <w:r w:rsidR="004C530B">
        <w:rPr>
          <w:color w:val="000000"/>
        </w:rPr>
        <w:t xml:space="preserve">campus </w:t>
      </w:r>
      <w:r w:rsidR="007E3321">
        <w:rPr>
          <w:color w:val="000000"/>
        </w:rPr>
        <w:t>of</w:t>
      </w:r>
      <w:r w:rsidR="004C530B">
        <w:rPr>
          <w:color w:val="000000"/>
        </w:rPr>
        <w:t xml:space="preserve"> a</w:t>
      </w:r>
      <w:r w:rsidRPr="003D1192">
        <w:rPr>
          <w:color w:val="000000"/>
        </w:rPr>
        <w:t xml:space="preserve"> regional center</w:t>
      </w:r>
      <w:r w:rsidR="007A3C89" w:rsidRPr="003D1192">
        <w:rPr>
          <w:color w:val="000000"/>
        </w:rPr>
        <w:t>;</w:t>
      </w:r>
      <w:r w:rsidRPr="003D1192">
        <w:rPr>
          <w:color w:val="000000"/>
        </w:rPr>
        <w:t xml:space="preserve"> </w:t>
      </w:r>
      <w:r w:rsidR="007A3C89" w:rsidRPr="003D1192">
        <w:rPr>
          <w:color w:val="000000"/>
        </w:rPr>
        <w:t>(2)</w:t>
      </w:r>
      <w:r w:rsidRPr="003D1192">
        <w:rPr>
          <w:color w:val="000000"/>
        </w:rPr>
        <w:t xml:space="preserve"> a transfer initiated by the </w:t>
      </w:r>
      <w:r w:rsidR="007A3C89" w:rsidRPr="003D1192">
        <w:rPr>
          <w:color w:val="000000"/>
        </w:rPr>
        <w:t xml:space="preserve">individual’s </w:t>
      </w:r>
      <w:r w:rsidRPr="003D1192">
        <w:rPr>
          <w:color w:val="000000"/>
        </w:rPr>
        <w:t xml:space="preserve">planning and support team with the involvement </w:t>
      </w:r>
      <w:r w:rsidR="003B0C68">
        <w:rPr>
          <w:color w:val="000000"/>
        </w:rPr>
        <w:t xml:space="preserve">and consent </w:t>
      </w:r>
      <w:r w:rsidRPr="003D1192">
        <w:rPr>
          <w:color w:val="000000"/>
        </w:rPr>
        <w:t xml:space="preserve">of the individual and </w:t>
      </w:r>
      <w:r w:rsidR="007A3C89" w:rsidRPr="003D1192">
        <w:rPr>
          <w:color w:val="000000"/>
        </w:rPr>
        <w:t>the individual’s legal representative, if any; (3)</w:t>
      </w:r>
      <w:r w:rsidRPr="003D1192">
        <w:rPr>
          <w:color w:val="000000"/>
        </w:rPr>
        <w:t xml:space="preserve"> a transfer initiated by the individual or </w:t>
      </w:r>
      <w:r w:rsidR="007A3C89" w:rsidRPr="003D1192">
        <w:rPr>
          <w:color w:val="000000"/>
        </w:rPr>
        <w:t>the individual’s legal representative, if any,</w:t>
      </w:r>
      <w:r w:rsidRPr="003D1192">
        <w:rPr>
          <w:color w:val="000000"/>
        </w:rPr>
        <w:t xml:space="preserve"> using portability</w:t>
      </w:r>
      <w:r w:rsidR="007A3C89" w:rsidRPr="003D1192">
        <w:rPr>
          <w:color w:val="000000"/>
        </w:rPr>
        <w:t>;</w:t>
      </w:r>
      <w:r w:rsidR="00BD30F7">
        <w:rPr>
          <w:color w:val="000000"/>
        </w:rPr>
        <w:t xml:space="preserve"> </w:t>
      </w:r>
      <w:r w:rsidRPr="003D1192">
        <w:rPr>
          <w:color w:val="000000"/>
        </w:rPr>
        <w:t xml:space="preserve">or </w:t>
      </w:r>
      <w:r w:rsidR="007A3C89" w:rsidRPr="003D1192">
        <w:rPr>
          <w:color w:val="000000"/>
        </w:rPr>
        <w:t>(</w:t>
      </w:r>
      <w:r w:rsidR="00C20B58">
        <w:rPr>
          <w:color w:val="000000"/>
        </w:rPr>
        <w:t>4</w:t>
      </w:r>
      <w:r w:rsidR="007A3C89" w:rsidRPr="003D1192">
        <w:rPr>
          <w:color w:val="000000"/>
        </w:rPr>
        <w:t>)</w:t>
      </w:r>
      <w:r w:rsidRPr="003D1192">
        <w:rPr>
          <w:color w:val="000000"/>
        </w:rPr>
        <w:t xml:space="preserve"> the admission of an individual to a health care or other facility that is not operated, licensed or funded by DDS.</w:t>
      </w:r>
    </w:p>
    <w:p w14:paraId="70751B7F" w14:textId="57ACB971" w:rsidR="001A36BB" w:rsidRPr="00782A6D" w:rsidRDefault="001A36BB" w:rsidP="009E5490">
      <w:pPr>
        <w:ind w:left="360"/>
        <w:rPr>
          <w:color w:val="000000"/>
          <w:sz w:val="16"/>
          <w:szCs w:val="16"/>
        </w:rPr>
      </w:pPr>
    </w:p>
    <w:p w14:paraId="2B39D77C" w14:textId="61FCBB91" w:rsidR="007A3C89" w:rsidRDefault="000D03C2" w:rsidP="00300E90">
      <w:pPr>
        <w:ind w:left="360"/>
        <w:rPr>
          <w:color w:val="000000"/>
        </w:rPr>
      </w:pPr>
      <w:r>
        <w:rPr>
          <w:color w:val="000000"/>
        </w:rPr>
        <w:lastRenderedPageBreak/>
        <w:t>T</w:t>
      </w:r>
      <w:r w:rsidRPr="000D03C2">
        <w:rPr>
          <w:color w:val="000000"/>
        </w:rPr>
        <w:t>his procedure</w:t>
      </w:r>
      <w:r>
        <w:rPr>
          <w:color w:val="000000"/>
        </w:rPr>
        <w:t xml:space="preserve"> also</w:t>
      </w:r>
      <w:r w:rsidRPr="000D03C2">
        <w:rPr>
          <w:color w:val="000000"/>
        </w:rPr>
        <w:t xml:space="preserve"> does </w:t>
      </w:r>
      <w:r w:rsidRPr="008F52D1">
        <w:rPr>
          <w:color w:val="000000"/>
          <w:u w:val="single"/>
        </w:rPr>
        <w:t>not</w:t>
      </w:r>
      <w:r w:rsidRPr="000D03C2">
        <w:rPr>
          <w:color w:val="000000"/>
        </w:rPr>
        <w:t xml:space="preserve"> apply to any individual placed or residing in a DDS residential setting that is considered transitional</w:t>
      </w:r>
      <w:r w:rsidR="00467DBA">
        <w:rPr>
          <w:color w:val="000000"/>
        </w:rPr>
        <w:t xml:space="preserve"> or</w:t>
      </w:r>
      <w:r w:rsidRPr="000D03C2">
        <w:rPr>
          <w:color w:val="000000"/>
        </w:rPr>
        <w:t xml:space="preserve"> time-limited</w:t>
      </w:r>
      <w:r w:rsidR="00F47F90">
        <w:rPr>
          <w:color w:val="000000"/>
        </w:rPr>
        <w:t>,</w:t>
      </w:r>
      <w:r w:rsidRPr="000D03C2">
        <w:rPr>
          <w:color w:val="000000"/>
        </w:rPr>
        <w:t xml:space="preserve"> (e.g., </w:t>
      </w:r>
      <w:r w:rsidR="008F52D1">
        <w:rPr>
          <w:color w:val="000000"/>
        </w:rPr>
        <w:t xml:space="preserve">DDS </w:t>
      </w:r>
      <w:r>
        <w:rPr>
          <w:color w:val="000000"/>
        </w:rPr>
        <w:t>Transitional Unit</w:t>
      </w:r>
      <w:r w:rsidR="008F52D1">
        <w:rPr>
          <w:color w:val="000000"/>
        </w:rPr>
        <w:t xml:space="preserve">, </w:t>
      </w:r>
      <w:r>
        <w:rPr>
          <w:color w:val="000000"/>
        </w:rPr>
        <w:t>DDS</w:t>
      </w:r>
      <w:r w:rsidR="00F47F90">
        <w:rPr>
          <w:color w:val="000000"/>
        </w:rPr>
        <w:t>-o</w:t>
      </w:r>
      <w:r>
        <w:rPr>
          <w:color w:val="000000"/>
        </w:rPr>
        <w:t xml:space="preserve">perated Step </w:t>
      </w:r>
      <w:r w:rsidR="00F47F90">
        <w:rPr>
          <w:color w:val="000000"/>
        </w:rPr>
        <w:t xml:space="preserve">Up/Step </w:t>
      </w:r>
      <w:r>
        <w:rPr>
          <w:color w:val="000000"/>
        </w:rPr>
        <w:t>Down Unit</w:t>
      </w:r>
      <w:r w:rsidRPr="000D03C2">
        <w:rPr>
          <w:color w:val="000000"/>
        </w:rPr>
        <w:t>)</w:t>
      </w:r>
      <w:r>
        <w:rPr>
          <w:color w:val="000000"/>
        </w:rPr>
        <w:t xml:space="preserve"> </w:t>
      </w:r>
      <w:r w:rsidRPr="000D03C2">
        <w:rPr>
          <w:color w:val="000000"/>
        </w:rPr>
        <w:t xml:space="preserve">with the intent to provide supports that will facilitate an appropriate transition into a home </w:t>
      </w:r>
      <w:r w:rsidR="009741E8">
        <w:rPr>
          <w:color w:val="000000"/>
        </w:rPr>
        <w:t>or</w:t>
      </w:r>
      <w:r w:rsidRPr="000D03C2">
        <w:rPr>
          <w:color w:val="000000"/>
        </w:rPr>
        <w:t xml:space="preserve"> community</w:t>
      </w:r>
      <w:r w:rsidR="009741E8">
        <w:rPr>
          <w:color w:val="000000"/>
        </w:rPr>
        <w:t>-</w:t>
      </w:r>
      <w:r w:rsidRPr="000D03C2">
        <w:rPr>
          <w:color w:val="000000"/>
        </w:rPr>
        <w:t>based residential setting.</w:t>
      </w:r>
    </w:p>
    <w:p w14:paraId="0233A365" w14:textId="77777777" w:rsidR="00300E90" w:rsidRPr="008D2BE6" w:rsidRDefault="00300E90" w:rsidP="00300E90">
      <w:pPr>
        <w:ind w:left="360"/>
        <w:rPr>
          <w:b/>
          <w:bCs/>
          <w:sz w:val="16"/>
          <w:szCs w:val="16"/>
        </w:rPr>
      </w:pPr>
    </w:p>
    <w:p w14:paraId="650C6924" w14:textId="77777777" w:rsidR="007A3C89" w:rsidRDefault="007A3C89" w:rsidP="007A3C89">
      <w:pPr>
        <w:pStyle w:val="Title"/>
        <w:tabs>
          <w:tab w:val="left" w:pos="-180"/>
          <w:tab w:val="left" w:pos="360"/>
        </w:tabs>
        <w:ind w:left="360"/>
        <w:jc w:val="left"/>
        <w:rPr>
          <w:b w:val="0"/>
          <w:bCs w:val="0"/>
          <w:sz w:val="24"/>
        </w:rPr>
      </w:pPr>
      <w:r w:rsidRPr="00231320">
        <w:rPr>
          <w:b w:val="0"/>
          <w:bCs w:val="0"/>
          <w:sz w:val="24"/>
        </w:rPr>
        <w:t xml:space="preserve">This procedure shall be implemented by all case managers, case management supervisors and other DDS staff responsible for transferring an individual from a residential facility that is operated, licensed, or funded by DDS </w:t>
      </w:r>
      <w:r w:rsidRPr="006358EF">
        <w:rPr>
          <w:b w:val="0"/>
          <w:bCs w:val="0"/>
          <w:sz w:val="24"/>
        </w:rPr>
        <w:t xml:space="preserve">to another such </w:t>
      </w:r>
      <w:r w:rsidR="006358EF">
        <w:rPr>
          <w:b w:val="0"/>
          <w:bCs w:val="0"/>
          <w:sz w:val="24"/>
        </w:rPr>
        <w:t>residential facility</w:t>
      </w:r>
      <w:r w:rsidRPr="006358EF">
        <w:rPr>
          <w:b w:val="0"/>
          <w:bCs w:val="0"/>
          <w:sz w:val="24"/>
        </w:rPr>
        <w:t>.</w:t>
      </w:r>
    </w:p>
    <w:p w14:paraId="282A73A7" w14:textId="77777777" w:rsidR="00183B2B" w:rsidRPr="00231320" w:rsidRDefault="00183B2B">
      <w:pPr>
        <w:pStyle w:val="Title"/>
        <w:tabs>
          <w:tab w:val="left" w:pos="-180"/>
          <w:tab w:val="left" w:pos="360"/>
        </w:tabs>
        <w:jc w:val="left"/>
        <w:rPr>
          <w:sz w:val="24"/>
        </w:rPr>
      </w:pPr>
    </w:p>
    <w:p w14:paraId="7FA3A4E2" w14:textId="77777777" w:rsidR="00551FDB" w:rsidRPr="00231320" w:rsidRDefault="00551FDB" w:rsidP="008D2BE6">
      <w:pPr>
        <w:pStyle w:val="Heading6"/>
        <w:numPr>
          <w:ilvl w:val="0"/>
          <w:numId w:val="27"/>
        </w:numPr>
        <w:tabs>
          <w:tab w:val="clear" w:pos="540"/>
        </w:tabs>
        <w:ind w:left="360"/>
      </w:pPr>
      <w:r w:rsidRPr="00231320">
        <w:t>Definitions</w:t>
      </w:r>
    </w:p>
    <w:p w14:paraId="43F95C6D" w14:textId="77777777" w:rsidR="00AB7AA7" w:rsidRPr="000E2179" w:rsidRDefault="00AB7AA7" w:rsidP="009E5490">
      <w:pPr>
        <w:ind w:left="360"/>
        <w:rPr>
          <w:color w:val="000000"/>
          <w:sz w:val="8"/>
          <w:szCs w:val="8"/>
        </w:rPr>
      </w:pPr>
    </w:p>
    <w:p w14:paraId="505B91D8" w14:textId="77777777" w:rsidR="00A83257" w:rsidRDefault="00A83257" w:rsidP="009E5490">
      <w:pPr>
        <w:ind w:left="360"/>
        <w:rPr>
          <w:color w:val="000000"/>
          <w:szCs w:val="20"/>
        </w:rPr>
      </w:pPr>
      <w:r>
        <w:rPr>
          <w:color w:val="000000"/>
          <w:szCs w:val="20"/>
        </w:rPr>
        <w:t>“Commissioner” means the Commissioner of Developmental Services.</w:t>
      </w:r>
    </w:p>
    <w:p w14:paraId="63F6F9E9" w14:textId="77777777" w:rsidR="00A83257" w:rsidRPr="008D2BE6" w:rsidRDefault="00A83257" w:rsidP="009E5490">
      <w:pPr>
        <w:ind w:left="360"/>
        <w:rPr>
          <w:color w:val="000000"/>
          <w:sz w:val="16"/>
          <w:szCs w:val="16"/>
        </w:rPr>
      </w:pPr>
    </w:p>
    <w:p w14:paraId="14DE55CF" w14:textId="77777777" w:rsidR="00AB7AA7" w:rsidRPr="00AB7AA7" w:rsidRDefault="00EB3697" w:rsidP="009E5490">
      <w:pPr>
        <w:ind w:left="360"/>
        <w:rPr>
          <w:color w:val="000000"/>
          <w:szCs w:val="20"/>
        </w:rPr>
      </w:pPr>
      <w:r>
        <w:rPr>
          <w:color w:val="000000"/>
          <w:szCs w:val="20"/>
        </w:rPr>
        <w:t>“</w:t>
      </w:r>
      <w:r w:rsidR="00AB7AA7" w:rsidRPr="00AB7AA7">
        <w:rPr>
          <w:color w:val="000000"/>
          <w:szCs w:val="20"/>
        </w:rPr>
        <w:t xml:space="preserve">Emergency </w:t>
      </w:r>
      <w:r>
        <w:rPr>
          <w:color w:val="000000"/>
          <w:szCs w:val="20"/>
        </w:rPr>
        <w:t>t</w:t>
      </w:r>
      <w:r w:rsidR="00AB7AA7" w:rsidRPr="00AB7AA7">
        <w:rPr>
          <w:color w:val="000000"/>
          <w:szCs w:val="20"/>
        </w:rPr>
        <w:t>ransfer</w:t>
      </w:r>
      <w:r>
        <w:rPr>
          <w:color w:val="000000"/>
          <w:szCs w:val="20"/>
        </w:rPr>
        <w:t>” means t</w:t>
      </w:r>
      <w:r w:rsidR="00AB7AA7" w:rsidRPr="00AB7AA7">
        <w:rPr>
          <w:color w:val="000000"/>
          <w:szCs w:val="20"/>
        </w:rPr>
        <w:t xml:space="preserve">he immediate </w:t>
      </w:r>
      <w:r w:rsidR="00F0726B">
        <w:rPr>
          <w:color w:val="000000"/>
          <w:szCs w:val="20"/>
        </w:rPr>
        <w:t>move</w:t>
      </w:r>
      <w:r w:rsidR="00F0726B" w:rsidRPr="00AB7AA7">
        <w:rPr>
          <w:color w:val="000000"/>
          <w:szCs w:val="20"/>
        </w:rPr>
        <w:t xml:space="preserve"> </w:t>
      </w:r>
      <w:r w:rsidR="00AB7AA7" w:rsidRPr="00AB7AA7">
        <w:rPr>
          <w:color w:val="000000"/>
          <w:szCs w:val="20"/>
        </w:rPr>
        <w:t xml:space="preserve">of an individual from any residential facility that is operated, licensed, or funded by DDS to </w:t>
      </w:r>
      <w:r w:rsidR="00AB7AA7" w:rsidRPr="00F0726B">
        <w:rPr>
          <w:color w:val="000000"/>
          <w:szCs w:val="20"/>
        </w:rPr>
        <w:t xml:space="preserve">another such </w:t>
      </w:r>
      <w:r w:rsidR="00F0726B">
        <w:rPr>
          <w:color w:val="000000"/>
          <w:szCs w:val="20"/>
        </w:rPr>
        <w:t>residential facility</w:t>
      </w:r>
      <w:r w:rsidR="00F0726B" w:rsidRPr="00AB7AA7">
        <w:rPr>
          <w:color w:val="000000"/>
          <w:szCs w:val="20"/>
        </w:rPr>
        <w:t xml:space="preserve"> </w:t>
      </w:r>
      <w:r w:rsidR="00AB7AA7" w:rsidRPr="00AB7AA7">
        <w:rPr>
          <w:color w:val="000000"/>
          <w:szCs w:val="20"/>
        </w:rPr>
        <w:t xml:space="preserve">when necessary to avoid a serious and immediate threat to the physical or mental health of </w:t>
      </w:r>
      <w:r>
        <w:rPr>
          <w:color w:val="000000"/>
          <w:szCs w:val="20"/>
        </w:rPr>
        <w:t xml:space="preserve">the </w:t>
      </w:r>
      <w:r w:rsidR="00AB7AA7" w:rsidRPr="00AB7AA7">
        <w:rPr>
          <w:color w:val="000000"/>
          <w:szCs w:val="20"/>
        </w:rPr>
        <w:t>individual or other</w:t>
      </w:r>
      <w:r>
        <w:rPr>
          <w:color w:val="000000"/>
          <w:szCs w:val="20"/>
        </w:rPr>
        <w:t xml:space="preserve"> persons living </w:t>
      </w:r>
      <w:r w:rsidR="00AB7AA7" w:rsidRPr="00AB7AA7">
        <w:rPr>
          <w:color w:val="000000"/>
          <w:szCs w:val="20"/>
        </w:rPr>
        <w:t>in the residential facility.</w:t>
      </w:r>
    </w:p>
    <w:p w14:paraId="308EAAD6" w14:textId="77777777" w:rsidR="00AB7AA7" w:rsidRPr="008D2BE6" w:rsidRDefault="00AB7AA7" w:rsidP="009E5490">
      <w:pPr>
        <w:ind w:left="360"/>
        <w:rPr>
          <w:color w:val="000000"/>
          <w:sz w:val="16"/>
          <w:szCs w:val="16"/>
        </w:rPr>
      </w:pPr>
    </w:p>
    <w:p w14:paraId="6C3C95E7" w14:textId="77777777" w:rsidR="00AB7AA7" w:rsidRPr="00AB7AA7" w:rsidRDefault="00EB3697" w:rsidP="009E5490">
      <w:pPr>
        <w:ind w:left="360"/>
        <w:rPr>
          <w:color w:val="000000"/>
          <w:szCs w:val="20"/>
        </w:rPr>
      </w:pPr>
      <w:r>
        <w:rPr>
          <w:color w:val="000000"/>
          <w:szCs w:val="20"/>
        </w:rPr>
        <w:t>“</w:t>
      </w:r>
      <w:r w:rsidR="00AB7AA7" w:rsidRPr="00AB7AA7">
        <w:rPr>
          <w:color w:val="000000"/>
          <w:szCs w:val="20"/>
        </w:rPr>
        <w:t>Hearing</w:t>
      </w:r>
      <w:r>
        <w:rPr>
          <w:color w:val="000000"/>
          <w:szCs w:val="20"/>
        </w:rPr>
        <w:t>” means t</w:t>
      </w:r>
      <w:r w:rsidR="00AB7AA7" w:rsidRPr="00AB7AA7">
        <w:rPr>
          <w:color w:val="000000"/>
          <w:szCs w:val="20"/>
        </w:rPr>
        <w:t>he administrative proceeding that is held in accordance with Chapter 54 of the Connecticut General Statutes</w:t>
      </w:r>
      <w:r>
        <w:rPr>
          <w:color w:val="000000"/>
          <w:szCs w:val="20"/>
        </w:rPr>
        <w:t>,</w:t>
      </w:r>
      <w:r w:rsidR="00AB7AA7" w:rsidRPr="00AB7AA7">
        <w:rPr>
          <w:color w:val="000000"/>
          <w:szCs w:val="20"/>
        </w:rPr>
        <w:t xml:space="preserve"> the Uniform Administrative Procedure Act</w:t>
      </w:r>
      <w:r>
        <w:rPr>
          <w:color w:val="000000"/>
          <w:szCs w:val="20"/>
        </w:rPr>
        <w:t xml:space="preserve"> (UAPA)</w:t>
      </w:r>
      <w:r w:rsidR="00AB7AA7" w:rsidRPr="00AB7AA7">
        <w:rPr>
          <w:color w:val="000000"/>
          <w:szCs w:val="20"/>
        </w:rPr>
        <w:t>.</w:t>
      </w:r>
    </w:p>
    <w:p w14:paraId="6B4FA7AA" w14:textId="77777777" w:rsidR="00AB7AA7" w:rsidRPr="008D2BE6" w:rsidRDefault="00AB7AA7" w:rsidP="009E5490">
      <w:pPr>
        <w:ind w:left="360"/>
        <w:rPr>
          <w:color w:val="000000"/>
          <w:sz w:val="16"/>
          <w:szCs w:val="16"/>
        </w:rPr>
      </w:pPr>
    </w:p>
    <w:p w14:paraId="69E0228F" w14:textId="77777777" w:rsidR="00AB7AA7" w:rsidRPr="00AB7AA7" w:rsidRDefault="00EB3697" w:rsidP="009E5490">
      <w:pPr>
        <w:ind w:left="360"/>
        <w:rPr>
          <w:color w:val="000000"/>
          <w:szCs w:val="20"/>
        </w:rPr>
      </w:pPr>
      <w:r>
        <w:rPr>
          <w:color w:val="000000"/>
          <w:szCs w:val="20"/>
        </w:rPr>
        <w:t>“</w:t>
      </w:r>
      <w:r w:rsidR="00AB7AA7" w:rsidRPr="00AB7AA7">
        <w:rPr>
          <w:color w:val="000000"/>
          <w:szCs w:val="20"/>
        </w:rPr>
        <w:t xml:space="preserve">Hearing </w:t>
      </w:r>
      <w:r>
        <w:rPr>
          <w:color w:val="000000"/>
          <w:szCs w:val="20"/>
        </w:rPr>
        <w:t>o</w:t>
      </w:r>
      <w:r w:rsidR="00AB7AA7" w:rsidRPr="00AB7AA7">
        <w:rPr>
          <w:color w:val="000000"/>
          <w:szCs w:val="20"/>
        </w:rPr>
        <w:t>fficer</w:t>
      </w:r>
      <w:r>
        <w:rPr>
          <w:color w:val="000000"/>
          <w:szCs w:val="20"/>
        </w:rPr>
        <w:t xml:space="preserve">” means the </w:t>
      </w:r>
      <w:r w:rsidR="00AB7AA7" w:rsidRPr="00AB7AA7">
        <w:rPr>
          <w:color w:val="000000"/>
          <w:szCs w:val="20"/>
        </w:rPr>
        <w:t xml:space="preserve">person </w:t>
      </w:r>
      <w:r>
        <w:rPr>
          <w:color w:val="000000"/>
          <w:szCs w:val="20"/>
        </w:rPr>
        <w:t xml:space="preserve">assigned </w:t>
      </w:r>
      <w:r w:rsidR="00AB7AA7" w:rsidRPr="00AB7AA7">
        <w:rPr>
          <w:color w:val="000000"/>
          <w:szCs w:val="20"/>
        </w:rPr>
        <w:t xml:space="preserve">by the </w:t>
      </w:r>
      <w:r>
        <w:rPr>
          <w:color w:val="000000"/>
          <w:szCs w:val="20"/>
        </w:rPr>
        <w:t xml:space="preserve">DDS </w:t>
      </w:r>
      <w:r w:rsidR="00AB7AA7" w:rsidRPr="00AB7AA7">
        <w:rPr>
          <w:color w:val="000000"/>
          <w:szCs w:val="20"/>
        </w:rPr>
        <w:t xml:space="preserve">Commissioner </w:t>
      </w:r>
      <w:r w:rsidR="004D7001">
        <w:rPr>
          <w:color w:val="000000"/>
          <w:szCs w:val="20"/>
        </w:rPr>
        <w:t xml:space="preserve">or the DDS Legal Director </w:t>
      </w:r>
      <w:r w:rsidR="00AB7AA7" w:rsidRPr="00AB7AA7">
        <w:rPr>
          <w:color w:val="000000"/>
          <w:szCs w:val="20"/>
        </w:rPr>
        <w:t>to conduct a hearing in accordance with the provisions of Chapter 54 of the Connecticut General Statutes</w:t>
      </w:r>
      <w:r w:rsidR="0028340E">
        <w:rPr>
          <w:color w:val="000000"/>
          <w:szCs w:val="20"/>
        </w:rPr>
        <w:t>,</w:t>
      </w:r>
      <w:r w:rsidR="00AB7AA7" w:rsidRPr="00AB7AA7">
        <w:rPr>
          <w:color w:val="000000"/>
          <w:szCs w:val="20"/>
        </w:rPr>
        <w:t xml:space="preserve"> the Uniform Administrative Procedure Act</w:t>
      </w:r>
      <w:r w:rsidR="0028340E">
        <w:rPr>
          <w:color w:val="000000"/>
          <w:szCs w:val="20"/>
        </w:rPr>
        <w:t xml:space="preserve"> (UAPA)</w:t>
      </w:r>
      <w:r w:rsidR="00AB7AA7" w:rsidRPr="00AB7AA7">
        <w:rPr>
          <w:color w:val="000000"/>
          <w:szCs w:val="20"/>
        </w:rPr>
        <w:t>.</w:t>
      </w:r>
    </w:p>
    <w:p w14:paraId="569AC740" w14:textId="77777777" w:rsidR="00AB7AA7" w:rsidRPr="008D2BE6" w:rsidRDefault="00AB7AA7" w:rsidP="009E5490">
      <w:pPr>
        <w:ind w:left="360"/>
        <w:rPr>
          <w:color w:val="000000"/>
          <w:sz w:val="16"/>
          <w:szCs w:val="16"/>
        </w:rPr>
      </w:pPr>
    </w:p>
    <w:p w14:paraId="0ADAD365" w14:textId="77777777" w:rsidR="00AB7AA7" w:rsidRPr="00AB7AA7" w:rsidRDefault="0028340E" w:rsidP="009E5490">
      <w:pPr>
        <w:ind w:left="360"/>
        <w:rPr>
          <w:color w:val="000000"/>
          <w:szCs w:val="20"/>
        </w:rPr>
      </w:pPr>
      <w:r>
        <w:rPr>
          <w:color w:val="000000"/>
          <w:szCs w:val="20"/>
        </w:rPr>
        <w:t>“</w:t>
      </w:r>
      <w:r w:rsidR="00AB7AA7" w:rsidRPr="00AB7AA7">
        <w:rPr>
          <w:color w:val="000000"/>
          <w:szCs w:val="20"/>
        </w:rPr>
        <w:t>Individual</w:t>
      </w:r>
      <w:r>
        <w:rPr>
          <w:color w:val="000000"/>
          <w:szCs w:val="20"/>
        </w:rPr>
        <w:t>”</w:t>
      </w:r>
      <w:r w:rsidR="00AB7AA7" w:rsidRPr="00AB7AA7">
        <w:rPr>
          <w:color w:val="000000"/>
          <w:szCs w:val="20"/>
        </w:rPr>
        <w:t xml:space="preserve"> </w:t>
      </w:r>
      <w:r>
        <w:rPr>
          <w:color w:val="000000"/>
          <w:szCs w:val="20"/>
        </w:rPr>
        <w:t xml:space="preserve">means a </w:t>
      </w:r>
      <w:r w:rsidR="00AB7AA7" w:rsidRPr="00AB7AA7">
        <w:rPr>
          <w:color w:val="000000"/>
          <w:szCs w:val="20"/>
        </w:rPr>
        <w:t xml:space="preserve">person </w:t>
      </w:r>
      <w:r>
        <w:rPr>
          <w:color w:val="000000"/>
          <w:szCs w:val="20"/>
        </w:rPr>
        <w:t xml:space="preserve">receiving funding or services from DDS and who </w:t>
      </w:r>
      <w:r w:rsidR="00AB7AA7" w:rsidRPr="00AB7AA7">
        <w:rPr>
          <w:color w:val="000000"/>
          <w:szCs w:val="20"/>
        </w:rPr>
        <w:t>resid</w:t>
      </w:r>
      <w:r>
        <w:rPr>
          <w:color w:val="000000"/>
          <w:szCs w:val="20"/>
        </w:rPr>
        <w:t>es</w:t>
      </w:r>
      <w:r w:rsidR="00AB7AA7" w:rsidRPr="00AB7AA7">
        <w:rPr>
          <w:color w:val="000000"/>
          <w:szCs w:val="20"/>
        </w:rPr>
        <w:t xml:space="preserve"> in a residential facility operated, licensed or funded by the department.</w:t>
      </w:r>
    </w:p>
    <w:p w14:paraId="07EC87D0" w14:textId="77777777" w:rsidR="00AB7AA7" w:rsidRPr="008D2BE6" w:rsidRDefault="00AB7AA7" w:rsidP="009E5490">
      <w:pPr>
        <w:ind w:left="360"/>
        <w:rPr>
          <w:color w:val="000000"/>
          <w:sz w:val="16"/>
          <w:szCs w:val="16"/>
        </w:rPr>
      </w:pPr>
    </w:p>
    <w:p w14:paraId="42469AA8" w14:textId="5C086B9F" w:rsidR="00260C00" w:rsidRDefault="00260C00" w:rsidP="00260C00">
      <w:pPr>
        <w:ind w:left="360"/>
        <w:rPr>
          <w:color w:val="000000"/>
          <w:szCs w:val="20"/>
        </w:rPr>
      </w:pPr>
      <w:r w:rsidRPr="00051540">
        <w:rPr>
          <w:color w:val="000000"/>
          <w:szCs w:val="20"/>
        </w:rPr>
        <w:t xml:space="preserve">“Notice of emergency transfer” means the written notification from DDS of the emergency transfer of an individual sent to the individual and the individual’s legal representative not more than 10 days after the emergency transfer.  A notice of </w:t>
      </w:r>
      <w:r w:rsidR="00603028">
        <w:rPr>
          <w:color w:val="000000"/>
          <w:szCs w:val="20"/>
        </w:rPr>
        <w:t xml:space="preserve">emergency </w:t>
      </w:r>
      <w:r w:rsidRPr="00051540">
        <w:rPr>
          <w:color w:val="000000"/>
          <w:szCs w:val="20"/>
        </w:rPr>
        <w:t xml:space="preserve">transfer is </w:t>
      </w:r>
      <w:r w:rsidRPr="00051540">
        <w:rPr>
          <w:color w:val="000000"/>
          <w:szCs w:val="20"/>
          <w:u w:val="single"/>
        </w:rPr>
        <w:t>only</w:t>
      </w:r>
      <w:r w:rsidRPr="00051540">
        <w:rPr>
          <w:color w:val="000000"/>
          <w:szCs w:val="20"/>
        </w:rPr>
        <w:t xml:space="preserve"> sent for emergency transfers.</w:t>
      </w:r>
    </w:p>
    <w:p w14:paraId="53BC06A7" w14:textId="6F581F5D" w:rsidR="00260C00" w:rsidRPr="00260C00" w:rsidRDefault="00260C00" w:rsidP="00260C00">
      <w:pPr>
        <w:ind w:left="360"/>
        <w:rPr>
          <w:color w:val="000000"/>
          <w:sz w:val="16"/>
          <w:szCs w:val="16"/>
        </w:rPr>
      </w:pPr>
    </w:p>
    <w:p w14:paraId="1822D9EE" w14:textId="18E7A019" w:rsidR="00AB7AA7" w:rsidRPr="00AB7AA7" w:rsidRDefault="0028340E" w:rsidP="00260C00">
      <w:pPr>
        <w:ind w:left="360"/>
        <w:rPr>
          <w:color w:val="000000"/>
          <w:szCs w:val="20"/>
          <w:u w:val="single"/>
        </w:rPr>
      </w:pPr>
      <w:r>
        <w:rPr>
          <w:color w:val="000000"/>
          <w:szCs w:val="20"/>
        </w:rPr>
        <w:t>“</w:t>
      </w:r>
      <w:r w:rsidR="00AB7AA7" w:rsidRPr="00AB7AA7">
        <w:rPr>
          <w:color w:val="000000"/>
          <w:szCs w:val="20"/>
        </w:rPr>
        <w:t xml:space="preserve">Notice of </w:t>
      </w:r>
      <w:r>
        <w:rPr>
          <w:color w:val="000000"/>
          <w:szCs w:val="20"/>
        </w:rPr>
        <w:t>i</w:t>
      </w:r>
      <w:r w:rsidR="00AB7AA7" w:rsidRPr="00AB7AA7">
        <w:rPr>
          <w:color w:val="000000"/>
          <w:szCs w:val="20"/>
        </w:rPr>
        <w:t xml:space="preserve">ntent to </w:t>
      </w:r>
      <w:r>
        <w:rPr>
          <w:color w:val="000000"/>
          <w:szCs w:val="20"/>
        </w:rPr>
        <w:t>t</w:t>
      </w:r>
      <w:r w:rsidR="00AB7AA7" w:rsidRPr="00AB7AA7">
        <w:rPr>
          <w:color w:val="000000"/>
          <w:szCs w:val="20"/>
        </w:rPr>
        <w:t>ransfer</w:t>
      </w:r>
      <w:r>
        <w:rPr>
          <w:color w:val="000000"/>
          <w:szCs w:val="20"/>
        </w:rPr>
        <w:t>” means</w:t>
      </w:r>
      <w:r w:rsidR="00AB7AA7" w:rsidRPr="00AB7AA7">
        <w:rPr>
          <w:color w:val="000000"/>
          <w:szCs w:val="20"/>
        </w:rPr>
        <w:t xml:space="preserve"> the written notification from DDS of the proposed transfer, sent to the individual and the individual’s legal representative </w:t>
      </w:r>
      <w:r w:rsidRPr="00630479">
        <w:rPr>
          <w:color w:val="000000"/>
          <w:szCs w:val="20"/>
        </w:rPr>
        <w:t xml:space="preserve">not </w:t>
      </w:r>
      <w:r w:rsidR="00633A60" w:rsidRPr="00630479">
        <w:rPr>
          <w:color w:val="000000"/>
          <w:szCs w:val="20"/>
        </w:rPr>
        <w:t>fewer</w:t>
      </w:r>
      <w:r w:rsidRPr="00630479">
        <w:rPr>
          <w:color w:val="000000"/>
          <w:szCs w:val="20"/>
        </w:rPr>
        <w:t xml:space="preserve"> than</w:t>
      </w:r>
      <w:r w:rsidR="00AB7AA7" w:rsidRPr="00630479">
        <w:rPr>
          <w:color w:val="000000"/>
          <w:szCs w:val="20"/>
        </w:rPr>
        <w:t xml:space="preserve"> </w:t>
      </w:r>
      <w:r w:rsidR="00603028" w:rsidRPr="00630479">
        <w:rPr>
          <w:color w:val="000000"/>
          <w:szCs w:val="20"/>
        </w:rPr>
        <w:t xml:space="preserve">15 </w:t>
      </w:r>
      <w:r w:rsidR="00AB7AA7" w:rsidRPr="00630479">
        <w:rPr>
          <w:color w:val="000000"/>
          <w:szCs w:val="20"/>
        </w:rPr>
        <w:t>days prior</w:t>
      </w:r>
      <w:r w:rsidR="00AB7AA7" w:rsidRPr="00AB7AA7">
        <w:rPr>
          <w:color w:val="000000"/>
          <w:szCs w:val="20"/>
        </w:rPr>
        <w:t xml:space="preserve"> to the proposed transfer.</w:t>
      </w:r>
      <w:r w:rsidRPr="0028340E">
        <w:rPr>
          <w:color w:val="000000"/>
          <w:szCs w:val="20"/>
        </w:rPr>
        <w:t xml:space="preserve"> </w:t>
      </w:r>
      <w:r w:rsidRPr="00051540">
        <w:rPr>
          <w:color w:val="000000"/>
          <w:szCs w:val="20"/>
        </w:rPr>
        <w:t xml:space="preserve">A notice of intent to transfer is </w:t>
      </w:r>
      <w:r w:rsidRPr="00051540">
        <w:rPr>
          <w:color w:val="000000"/>
          <w:szCs w:val="20"/>
          <w:u w:val="single"/>
        </w:rPr>
        <w:t>not</w:t>
      </w:r>
      <w:r w:rsidRPr="00051540">
        <w:rPr>
          <w:color w:val="000000"/>
          <w:szCs w:val="20"/>
        </w:rPr>
        <w:t xml:space="preserve"> sent for emergency transfers.</w:t>
      </w:r>
    </w:p>
    <w:p w14:paraId="292579DD" w14:textId="3FC152D3" w:rsidR="00CE4777" w:rsidRPr="001B3194" w:rsidRDefault="00CE4777" w:rsidP="009E5490">
      <w:pPr>
        <w:ind w:left="360"/>
        <w:rPr>
          <w:color w:val="000000"/>
          <w:sz w:val="16"/>
          <w:szCs w:val="16"/>
        </w:rPr>
      </w:pPr>
    </w:p>
    <w:p w14:paraId="425AC23C" w14:textId="51407B65" w:rsidR="00AB7AA7" w:rsidRPr="00AB7AA7" w:rsidRDefault="0016073A" w:rsidP="009E5490">
      <w:pPr>
        <w:ind w:left="360"/>
        <w:rPr>
          <w:color w:val="000000"/>
          <w:szCs w:val="20"/>
        </w:rPr>
      </w:pPr>
      <w:r>
        <w:rPr>
          <w:color w:val="000000"/>
          <w:szCs w:val="20"/>
        </w:rPr>
        <w:t>“</w:t>
      </w:r>
      <w:r w:rsidR="00AB7AA7" w:rsidRPr="00AB7AA7">
        <w:rPr>
          <w:color w:val="000000"/>
          <w:szCs w:val="20"/>
        </w:rPr>
        <w:t>Planning and Resource Allocation Team</w:t>
      </w:r>
      <w:r>
        <w:rPr>
          <w:color w:val="000000"/>
          <w:szCs w:val="20"/>
        </w:rPr>
        <w:t>”</w:t>
      </w:r>
      <w:r w:rsidR="00AB7AA7" w:rsidRPr="00AB7AA7">
        <w:rPr>
          <w:color w:val="000000"/>
          <w:szCs w:val="20"/>
        </w:rPr>
        <w:t xml:space="preserve"> </w:t>
      </w:r>
      <w:r>
        <w:rPr>
          <w:color w:val="000000"/>
          <w:szCs w:val="20"/>
        </w:rPr>
        <w:t>or “</w:t>
      </w:r>
      <w:r w:rsidR="00AB7AA7" w:rsidRPr="00AB7AA7">
        <w:rPr>
          <w:color w:val="000000"/>
          <w:szCs w:val="20"/>
        </w:rPr>
        <w:t>PRAT</w:t>
      </w:r>
      <w:r>
        <w:rPr>
          <w:color w:val="000000"/>
          <w:szCs w:val="20"/>
        </w:rPr>
        <w:t xml:space="preserve">” means the </w:t>
      </w:r>
      <w:r w:rsidR="00AB7AA7" w:rsidRPr="00AB7AA7">
        <w:rPr>
          <w:color w:val="000000"/>
          <w:szCs w:val="20"/>
        </w:rPr>
        <w:t xml:space="preserve">DDS employees in each region </w:t>
      </w:r>
      <w:r w:rsidR="007B6D25">
        <w:rPr>
          <w:color w:val="000000"/>
          <w:szCs w:val="20"/>
        </w:rPr>
        <w:t xml:space="preserve">who </w:t>
      </w:r>
      <w:r w:rsidR="00AB7AA7" w:rsidRPr="00AB7AA7">
        <w:rPr>
          <w:color w:val="000000"/>
          <w:szCs w:val="20"/>
        </w:rPr>
        <w:t>allocat</w:t>
      </w:r>
      <w:r>
        <w:rPr>
          <w:color w:val="000000"/>
          <w:szCs w:val="20"/>
        </w:rPr>
        <w:t>e</w:t>
      </w:r>
      <w:r w:rsidR="00AB7AA7" w:rsidRPr="00AB7AA7">
        <w:rPr>
          <w:color w:val="000000"/>
          <w:szCs w:val="20"/>
        </w:rPr>
        <w:t xml:space="preserve"> </w:t>
      </w:r>
      <w:r>
        <w:rPr>
          <w:color w:val="000000"/>
          <w:szCs w:val="20"/>
        </w:rPr>
        <w:t xml:space="preserve">funding </w:t>
      </w:r>
      <w:r w:rsidR="00AB7AA7" w:rsidRPr="00AB7AA7">
        <w:rPr>
          <w:color w:val="000000"/>
          <w:szCs w:val="20"/>
        </w:rPr>
        <w:t xml:space="preserve">to individuals, including </w:t>
      </w:r>
      <w:r>
        <w:rPr>
          <w:color w:val="000000"/>
          <w:szCs w:val="20"/>
        </w:rPr>
        <w:t xml:space="preserve">for </w:t>
      </w:r>
      <w:r w:rsidR="00AB7AA7" w:rsidRPr="00AB7AA7">
        <w:rPr>
          <w:color w:val="000000"/>
          <w:szCs w:val="20"/>
        </w:rPr>
        <w:t>residential opportunities.</w:t>
      </w:r>
    </w:p>
    <w:p w14:paraId="2EDA4234" w14:textId="77777777" w:rsidR="00AB7AA7" w:rsidRPr="008D2BE6" w:rsidRDefault="00AB7AA7" w:rsidP="009E5490">
      <w:pPr>
        <w:ind w:left="360"/>
        <w:rPr>
          <w:color w:val="000000"/>
          <w:sz w:val="16"/>
          <w:szCs w:val="16"/>
        </w:rPr>
      </w:pPr>
    </w:p>
    <w:p w14:paraId="062A8688" w14:textId="6B452502" w:rsidR="00AB7AA7" w:rsidRPr="00AB7AA7" w:rsidRDefault="0016073A" w:rsidP="009E5490">
      <w:pPr>
        <w:ind w:left="360"/>
        <w:rPr>
          <w:color w:val="000000"/>
          <w:szCs w:val="20"/>
        </w:rPr>
      </w:pPr>
      <w:r>
        <w:rPr>
          <w:color w:val="000000"/>
          <w:szCs w:val="20"/>
        </w:rPr>
        <w:t>“</w:t>
      </w:r>
      <w:r w:rsidR="00AB7AA7" w:rsidRPr="00AB7AA7">
        <w:rPr>
          <w:color w:val="000000"/>
          <w:szCs w:val="20"/>
        </w:rPr>
        <w:t>Planning and Support Team</w:t>
      </w:r>
      <w:r>
        <w:rPr>
          <w:color w:val="000000"/>
          <w:szCs w:val="20"/>
        </w:rPr>
        <w:t>” means t</w:t>
      </w:r>
      <w:r w:rsidR="00AB7AA7" w:rsidRPr="00AB7AA7">
        <w:rPr>
          <w:color w:val="000000"/>
          <w:szCs w:val="20"/>
        </w:rPr>
        <w:t>he group that includes the individual, the individual’s parent or legal representative, case manager</w:t>
      </w:r>
      <w:r>
        <w:rPr>
          <w:color w:val="000000"/>
          <w:szCs w:val="20"/>
        </w:rPr>
        <w:t>,</w:t>
      </w:r>
      <w:r w:rsidR="00AB7AA7" w:rsidRPr="00AB7AA7">
        <w:rPr>
          <w:color w:val="000000"/>
          <w:szCs w:val="20"/>
        </w:rPr>
        <w:t xml:space="preserve"> and support service </w:t>
      </w:r>
      <w:r w:rsidR="00A92355">
        <w:rPr>
          <w:color w:val="000000"/>
          <w:szCs w:val="20"/>
        </w:rPr>
        <w:t>professionals</w:t>
      </w:r>
      <w:r w:rsidR="00AB7AA7" w:rsidRPr="00AB7AA7">
        <w:rPr>
          <w:color w:val="000000"/>
          <w:szCs w:val="20"/>
        </w:rPr>
        <w:t xml:space="preserve"> who develop the </w:t>
      </w:r>
      <w:r w:rsidR="00A92355">
        <w:rPr>
          <w:color w:val="000000"/>
          <w:szCs w:val="20"/>
        </w:rPr>
        <w:t xml:space="preserve">individual’s </w:t>
      </w:r>
      <w:r w:rsidR="00AB7AA7" w:rsidRPr="00AB7AA7">
        <w:rPr>
          <w:color w:val="000000"/>
          <w:szCs w:val="20"/>
        </w:rPr>
        <w:t>individual plan.</w:t>
      </w:r>
    </w:p>
    <w:p w14:paraId="2877C761" w14:textId="77777777" w:rsidR="00AB7AA7" w:rsidRPr="008D2BE6" w:rsidRDefault="00AB7AA7" w:rsidP="009E5490">
      <w:pPr>
        <w:ind w:left="360"/>
        <w:rPr>
          <w:color w:val="000000"/>
          <w:sz w:val="16"/>
          <w:szCs w:val="16"/>
        </w:rPr>
      </w:pPr>
    </w:p>
    <w:p w14:paraId="2FDC3BC3" w14:textId="620FF6BF" w:rsidR="00BA5791" w:rsidRPr="00CF2AEC" w:rsidRDefault="00BA5791" w:rsidP="00BA5791">
      <w:pPr>
        <w:ind w:left="360"/>
        <w:rPr>
          <w:color w:val="000000"/>
          <w:szCs w:val="20"/>
        </w:rPr>
      </w:pPr>
      <w:r w:rsidRPr="00CF2AEC">
        <w:rPr>
          <w:color w:val="000000"/>
          <w:szCs w:val="20"/>
        </w:rPr>
        <w:t xml:space="preserve">“Residential facility” means a </w:t>
      </w:r>
      <w:r>
        <w:rPr>
          <w:color w:val="000000"/>
          <w:szCs w:val="20"/>
        </w:rPr>
        <w:t>residence</w:t>
      </w:r>
      <w:r w:rsidRPr="00CF2AEC">
        <w:rPr>
          <w:color w:val="000000"/>
          <w:szCs w:val="20"/>
        </w:rPr>
        <w:t xml:space="preserve"> that is operated, licensed or funded by DDS includ</w:t>
      </w:r>
      <w:r>
        <w:rPr>
          <w:color w:val="000000"/>
          <w:szCs w:val="20"/>
        </w:rPr>
        <w:t>ing</w:t>
      </w:r>
      <w:r w:rsidRPr="00CF2AEC">
        <w:rPr>
          <w:color w:val="000000"/>
          <w:szCs w:val="20"/>
        </w:rPr>
        <w:t xml:space="preserve"> community living arrangements (CLAs), continuous residential supports (CRS)</w:t>
      </w:r>
      <w:r>
        <w:rPr>
          <w:color w:val="000000"/>
          <w:szCs w:val="20"/>
        </w:rPr>
        <w:t xml:space="preserve"> homes operated by DDS qualified provider</w:t>
      </w:r>
      <w:r w:rsidR="001C4E4F">
        <w:rPr>
          <w:color w:val="000000"/>
          <w:szCs w:val="20"/>
        </w:rPr>
        <w:t>s</w:t>
      </w:r>
      <w:r>
        <w:rPr>
          <w:color w:val="000000"/>
          <w:szCs w:val="20"/>
        </w:rPr>
        <w:t xml:space="preserve">, </w:t>
      </w:r>
      <w:r w:rsidRPr="00CF2AEC">
        <w:rPr>
          <w:color w:val="000000"/>
          <w:szCs w:val="20"/>
        </w:rPr>
        <w:t xml:space="preserve">and community companion homes (CCHs). </w:t>
      </w:r>
      <w:r>
        <w:rPr>
          <w:color w:val="000000"/>
          <w:szCs w:val="20"/>
        </w:rPr>
        <w:t>This definition of “residential facility”</w:t>
      </w:r>
      <w:r w:rsidRPr="00CF2AEC">
        <w:rPr>
          <w:color w:val="000000"/>
          <w:szCs w:val="20"/>
        </w:rPr>
        <w:t xml:space="preserve"> does </w:t>
      </w:r>
      <w:r w:rsidRPr="00DB21FD">
        <w:rPr>
          <w:color w:val="000000"/>
          <w:szCs w:val="20"/>
          <w:u w:val="single"/>
        </w:rPr>
        <w:t>not</w:t>
      </w:r>
      <w:r w:rsidRPr="00CF2AEC">
        <w:rPr>
          <w:color w:val="000000"/>
          <w:szCs w:val="20"/>
        </w:rPr>
        <w:t xml:space="preserve"> include </w:t>
      </w:r>
      <w:r>
        <w:rPr>
          <w:color w:val="000000"/>
          <w:szCs w:val="20"/>
        </w:rPr>
        <w:t xml:space="preserve">residences where an </w:t>
      </w:r>
      <w:r w:rsidRPr="00CF2AEC">
        <w:rPr>
          <w:color w:val="000000"/>
          <w:szCs w:val="20"/>
        </w:rPr>
        <w:t xml:space="preserve">individual </w:t>
      </w:r>
      <w:r>
        <w:rPr>
          <w:color w:val="000000"/>
          <w:szCs w:val="20"/>
        </w:rPr>
        <w:t>receives individualized home supports (IHS)</w:t>
      </w:r>
      <w:r w:rsidR="001C4E4F">
        <w:rPr>
          <w:color w:val="000000"/>
          <w:szCs w:val="20"/>
        </w:rPr>
        <w:t>;</w:t>
      </w:r>
      <w:r>
        <w:rPr>
          <w:color w:val="000000"/>
          <w:szCs w:val="20"/>
        </w:rPr>
        <w:t xml:space="preserve"> continuous residential supports (CRS) in </w:t>
      </w:r>
      <w:r w:rsidR="001C4E4F">
        <w:rPr>
          <w:color w:val="000000"/>
          <w:szCs w:val="20"/>
        </w:rPr>
        <w:t xml:space="preserve">a residence not operated by a DDS qualified provider; </w:t>
      </w:r>
      <w:r>
        <w:rPr>
          <w:color w:val="000000"/>
          <w:szCs w:val="20"/>
        </w:rPr>
        <w:t>or supportive housing where the residence is not owned by DDS or a DDS qualified provider</w:t>
      </w:r>
      <w:r w:rsidRPr="00CF2AEC">
        <w:rPr>
          <w:color w:val="000000"/>
          <w:szCs w:val="20"/>
        </w:rPr>
        <w:t>.</w:t>
      </w:r>
    </w:p>
    <w:p w14:paraId="2EED662E" w14:textId="77777777" w:rsidR="00AB7AA7" w:rsidRPr="008D2BE6" w:rsidRDefault="00AB7AA7" w:rsidP="009E5490">
      <w:pPr>
        <w:ind w:left="360"/>
        <w:rPr>
          <w:color w:val="000000"/>
          <w:sz w:val="16"/>
          <w:szCs w:val="16"/>
        </w:rPr>
      </w:pPr>
    </w:p>
    <w:p w14:paraId="0B7BE561" w14:textId="74532B61" w:rsidR="000434EC" w:rsidRDefault="000434EC" w:rsidP="009E5490">
      <w:pPr>
        <w:ind w:left="360"/>
        <w:rPr>
          <w:color w:val="000000"/>
          <w:szCs w:val="20"/>
        </w:rPr>
      </w:pPr>
      <w:r>
        <w:rPr>
          <w:color w:val="000000"/>
          <w:szCs w:val="20"/>
        </w:rPr>
        <w:t>“Regional or Training School Director” means the</w:t>
      </w:r>
      <w:r w:rsidR="000172C0">
        <w:rPr>
          <w:color w:val="000000"/>
          <w:szCs w:val="20"/>
        </w:rPr>
        <w:t xml:space="preserve"> </w:t>
      </w:r>
      <w:r w:rsidR="00780068">
        <w:rPr>
          <w:color w:val="000000"/>
          <w:szCs w:val="20"/>
        </w:rPr>
        <w:t xml:space="preserve">DDS employee appointed by the Commissioner </w:t>
      </w:r>
      <w:r w:rsidR="000172C0">
        <w:rPr>
          <w:color w:val="000000"/>
          <w:szCs w:val="20"/>
        </w:rPr>
        <w:t>in each region or at the Southbury Training School</w:t>
      </w:r>
      <w:r w:rsidR="00780068">
        <w:rPr>
          <w:color w:val="000000"/>
          <w:szCs w:val="20"/>
        </w:rPr>
        <w:t>,</w:t>
      </w:r>
      <w:r w:rsidR="000172C0">
        <w:rPr>
          <w:color w:val="000000"/>
          <w:szCs w:val="20"/>
        </w:rPr>
        <w:t xml:space="preserve"> who may </w:t>
      </w:r>
      <w:r w:rsidR="004240E2">
        <w:rPr>
          <w:color w:val="000000"/>
          <w:szCs w:val="20"/>
        </w:rPr>
        <w:t>recommend a</w:t>
      </w:r>
      <w:r w:rsidR="000172C0">
        <w:rPr>
          <w:color w:val="000000"/>
          <w:szCs w:val="20"/>
        </w:rPr>
        <w:t xml:space="preserve"> propose</w:t>
      </w:r>
      <w:r w:rsidR="004240E2">
        <w:rPr>
          <w:color w:val="000000"/>
          <w:szCs w:val="20"/>
        </w:rPr>
        <w:t>d</w:t>
      </w:r>
      <w:r w:rsidR="000172C0">
        <w:rPr>
          <w:color w:val="000000"/>
          <w:szCs w:val="20"/>
        </w:rPr>
        <w:t xml:space="preserve"> transfer or an emergency transfer</w:t>
      </w:r>
      <w:r w:rsidR="004240E2">
        <w:rPr>
          <w:color w:val="000000"/>
          <w:szCs w:val="20"/>
        </w:rPr>
        <w:t xml:space="preserve"> to the Commissioner</w:t>
      </w:r>
      <w:r w:rsidR="000172C0">
        <w:rPr>
          <w:color w:val="000000"/>
          <w:szCs w:val="20"/>
        </w:rPr>
        <w:t xml:space="preserve">. </w:t>
      </w:r>
    </w:p>
    <w:p w14:paraId="16ED069F" w14:textId="4EC1232D" w:rsidR="009D2C56" w:rsidRPr="008D2BE6" w:rsidRDefault="009D2C56" w:rsidP="009E5490">
      <w:pPr>
        <w:ind w:left="360"/>
        <w:rPr>
          <w:color w:val="000000"/>
          <w:sz w:val="16"/>
          <w:szCs w:val="16"/>
        </w:rPr>
      </w:pPr>
    </w:p>
    <w:p w14:paraId="1E23B996" w14:textId="187BA5DB" w:rsidR="00AB7AA7" w:rsidRPr="004D7001" w:rsidRDefault="00A92355" w:rsidP="009E5490">
      <w:pPr>
        <w:ind w:left="360"/>
        <w:rPr>
          <w:szCs w:val="20"/>
        </w:rPr>
      </w:pPr>
      <w:r w:rsidRPr="004D7001">
        <w:rPr>
          <w:szCs w:val="20"/>
        </w:rPr>
        <w:t>“</w:t>
      </w:r>
      <w:r w:rsidR="00AB7AA7" w:rsidRPr="004D7001">
        <w:rPr>
          <w:szCs w:val="20"/>
        </w:rPr>
        <w:t>Transfer</w:t>
      </w:r>
      <w:r w:rsidRPr="004D7001">
        <w:rPr>
          <w:szCs w:val="20"/>
        </w:rPr>
        <w:t>” means t</w:t>
      </w:r>
      <w:r w:rsidR="00AB7AA7" w:rsidRPr="004D7001">
        <w:rPr>
          <w:szCs w:val="20"/>
        </w:rPr>
        <w:t xml:space="preserve">he move of an individual from </w:t>
      </w:r>
      <w:r w:rsidR="00A43600">
        <w:rPr>
          <w:szCs w:val="20"/>
        </w:rPr>
        <w:t>one</w:t>
      </w:r>
      <w:r w:rsidR="00AB7AA7" w:rsidRPr="004D7001">
        <w:rPr>
          <w:szCs w:val="20"/>
        </w:rPr>
        <w:t xml:space="preserve"> residential facility </w:t>
      </w:r>
      <w:r w:rsidR="00363111">
        <w:t xml:space="preserve">that is operated, licensed or funded by DDS </w:t>
      </w:r>
      <w:r w:rsidR="00AB7AA7" w:rsidRPr="004D7001">
        <w:rPr>
          <w:szCs w:val="20"/>
        </w:rPr>
        <w:t xml:space="preserve">to another </w:t>
      </w:r>
      <w:r w:rsidR="004240E2">
        <w:rPr>
          <w:szCs w:val="20"/>
        </w:rPr>
        <w:t xml:space="preserve">such </w:t>
      </w:r>
      <w:r w:rsidR="00657771" w:rsidRPr="004D7001">
        <w:rPr>
          <w:szCs w:val="20"/>
        </w:rPr>
        <w:t>residential facility</w:t>
      </w:r>
      <w:bookmarkStart w:id="2" w:name="_Hlk133225197"/>
      <w:r w:rsidR="00630479">
        <w:rPr>
          <w:szCs w:val="20"/>
        </w:rPr>
        <w:t xml:space="preserve">, </w:t>
      </w:r>
      <w:r w:rsidR="00AB7AA7" w:rsidRPr="004D7001">
        <w:rPr>
          <w:szCs w:val="20"/>
        </w:rPr>
        <w:t xml:space="preserve">which </w:t>
      </w:r>
      <w:r w:rsidRPr="004D7001">
        <w:rPr>
          <w:szCs w:val="20"/>
        </w:rPr>
        <w:t xml:space="preserve">has been </w:t>
      </w:r>
      <w:r w:rsidR="00AB7AA7" w:rsidRPr="004D7001">
        <w:rPr>
          <w:szCs w:val="20"/>
        </w:rPr>
        <w:t xml:space="preserve">proposed by the Commissioner </w:t>
      </w:r>
      <w:bookmarkStart w:id="3" w:name="_Hlk133234139"/>
      <w:r w:rsidR="0048302D">
        <w:t>or recommended to the Commissioner</w:t>
      </w:r>
      <w:r w:rsidR="00F120E2" w:rsidRPr="00F15204">
        <w:t xml:space="preserve"> </w:t>
      </w:r>
      <w:r w:rsidR="0048302D">
        <w:t xml:space="preserve">by a </w:t>
      </w:r>
      <w:r w:rsidR="008A434D" w:rsidRPr="006D2A71">
        <w:t>Regional or Training School Director</w:t>
      </w:r>
      <w:r w:rsidR="008A434D">
        <w:t xml:space="preserve"> or a </w:t>
      </w:r>
      <w:r w:rsidR="0048302D">
        <w:t>DDS qualified provider</w:t>
      </w:r>
      <w:r w:rsidR="00AB7AA7" w:rsidRPr="004D7001">
        <w:rPr>
          <w:szCs w:val="20"/>
        </w:rPr>
        <w:t>.</w:t>
      </w:r>
      <w:bookmarkEnd w:id="2"/>
      <w:bookmarkEnd w:id="3"/>
      <w:r w:rsidR="00657771" w:rsidRPr="004D7001">
        <w:rPr>
          <w:szCs w:val="20"/>
        </w:rPr>
        <w:t xml:space="preserve">  </w:t>
      </w:r>
    </w:p>
    <w:p w14:paraId="5B936F54" w14:textId="77777777" w:rsidR="00AB7AA7" w:rsidRPr="008D2BE6" w:rsidRDefault="00AB7AA7" w:rsidP="009E5490">
      <w:pPr>
        <w:ind w:left="360"/>
        <w:rPr>
          <w:color w:val="000000"/>
          <w:sz w:val="16"/>
          <w:szCs w:val="16"/>
        </w:rPr>
      </w:pPr>
    </w:p>
    <w:p w14:paraId="4222E06D" w14:textId="77777777" w:rsidR="00AB7AA7" w:rsidRPr="00AB7AA7" w:rsidRDefault="00A92355" w:rsidP="009E5490">
      <w:pPr>
        <w:ind w:left="360"/>
        <w:rPr>
          <w:color w:val="000000"/>
          <w:szCs w:val="20"/>
        </w:rPr>
      </w:pPr>
      <w:r>
        <w:rPr>
          <w:color w:val="000000"/>
          <w:szCs w:val="20"/>
        </w:rPr>
        <w:t>“</w:t>
      </w:r>
      <w:r w:rsidR="00AB7AA7" w:rsidRPr="00AB7AA7">
        <w:rPr>
          <w:color w:val="000000"/>
          <w:szCs w:val="20"/>
        </w:rPr>
        <w:t>Uniform Administrative Procedure Act</w:t>
      </w:r>
      <w:r>
        <w:rPr>
          <w:color w:val="000000"/>
          <w:szCs w:val="20"/>
        </w:rPr>
        <w:t>” or “</w:t>
      </w:r>
      <w:r w:rsidR="00AB7AA7" w:rsidRPr="00AB7AA7">
        <w:rPr>
          <w:color w:val="000000"/>
          <w:szCs w:val="20"/>
        </w:rPr>
        <w:t>UAPA</w:t>
      </w:r>
      <w:r>
        <w:rPr>
          <w:color w:val="000000"/>
          <w:szCs w:val="20"/>
        </w:rPr>
        <w:t>” means t</w:t>
      </w:r>
      <w:r w:rsidR="00AB7AA7" w:rsidRPr="00AB7AA7">
        <w:rPr>
          <w:color w:val="000000"/>
          <w:szCs w:val="20"/>
        </w:rPr>
        <w:t xml:space="preserve">he fair hearing process </w:t>
      </w:r>
      <w:r w:rsidR="00657771">
        <w:rPr>
          <w:color w:val="000000"/>
          <w:szCs w:val="20"/>
        </w:rPr>
        <w:t>de</w:t>
      </w:r>
      <w:r w:rsidR="0048302D">
        <w:rPr>
          <w:color w:val="000000"/>
          <w:szCs w:val="20"/>
        </w:rPr>
        <w:t xml:space="preserve">scribed </w:t>
      </w:r>
      <w:r w:rsidR="00657771">
        <w:rPr>
          <w:color w:val="000000"/>
          <w:szCs w:val="20"/>
        </w:rPr>
        <w:t>in</w:t>
      </w:r>
      <w:r w:rsidR="00AB7AA7" w:rsidRPr="00AB7AA7">
        <w:rPr>
          <w:color w:val="000000"/>
          <w:szCs w:val="20"/>
        </w:rPr>
        <w:t xml:space="preserve"> Chapter 54 of the Connecticut General Statutes.</w:t>
      </w:r>
    </w:p>
    <w:p w14:paraId="4F08998D" w14:textId="77777777" w:rsidR="00551FDB" w:rsidRDefault="00551FDB">
      <w:pPr>
        <w:pStyle w:val="Title"/>
        <w:tabs>
          <w:tab w:val="left" w:pos="-180"/>
          <w:tab w:val="left" w:pos="360"/>
        </w:tabs>
        <w:ind w:left="360"/>
        <w:jc w:val="left"/>
        <w:rPr>
          <w:b w:val="0"/>
          <w:bCs w:val="0"/>
          <w:strike/>
          <w:sz w:val="24"/>
        </w:rPr>
      </w:pPr>
    </w:p>
    <w:p w14:paraId="17F79BE7" w14:textId="77777777" w:rsidR="00551FDB" w:rsidRPr="00231320" w:rsidRDefault="00551FDB" w:rsidP="008D2BE6">
      <w:pPr>
        <w:pStyle w:val="Heading6"/>
        <w:numPr>
          <w:ilvl w:val="0"/>
          <w:numId w:val="27"/>
        </w:numPr>
        <w:tabs>
          <w:tab w:val="clear" w:pos="540"/>
        </w:tabs>
        <w:ind w:left="360"/>
      </w:pPr>
      <w:r w:rsidRPr="00231320">
        <w:t xml:space="preserve">Implementation </w:t>
      </w:r>
    </w:p>
    <w:p w14:paraId="74B1531E" w14:textId="77777777" w:rsidR="00782A6D" w:rsidRPr="00782A6D" w:rsidRDefault="00782A6D" w:rsidP="00782A6D">
      <w:pPr>
        <w:pStyle w:val="BodyText"/>
        <w:spacing w:after="0"/>
        <w:ind w:left="720"/>
        <w:rPr>
          <w:sz w:val="16"/>
          <w:szCs w:val="16"/>
        </w:rPr>
      </w:pPr>
      <w:bookmarkStart w:id="4" w:name="_Hlk86758183"/>
    </w:p>
    <w:p w14:paraId="1124B30E" w14:textId="733A394D" w:rsidR="00551FDB" w:rsidRPr="00231320" w:rsidRDefault="009C408D" w:rsidP="00C218CC">
      <w:pPr>
        <w:pStyle w:val="BodyText"/>
        <w:numPr>
          <w:ilvl w:val="1"/>
          <w:numId w:val="4"/>
        </w:numPr>
        <w:ind w:left="720"/>
        <w:rPr>
          <w:sz w:val="24"/>
        </w:rPr>
      </w:pPr>
      <w:r>
        <w:rPr>
          <w:sz w:val="24"/>
        </w:rPr>
        <w:t>The Commissioner</w:t>
      </w:r>
      <w:r w:rsidR="000D03C2">
        <w:rPr>
          <w:sz w:val="24"/>
        </w:rPr>
        <w:t xml:space="preserve"> </w:t>
      </w:r>
      <w:r>
        <w:rPr>
          <w:sz w:val="24"/>
        </w:rPr>
        <w:t xml:space="preserve">may propose </w:t>
      </w:r>
      <w:r w:rsidR="00F51347">
        <w:rPr>
          <w:sz w:val="24"/>
        </w:rPr>
        <w:t>the</w:t>
      </w:r>
      <w:r>
        <w:rPr>
          <w:sz w:val="24"/>
        </w:rPr>
        <w:t xml:space="preserve"> transfer</w:t>
      </w:r>
      <w:r w:rsidR="009121D1">
        <w:rPr>
          <w:sz w:val="24"/>
        </w:rPr>
        <w:t xml:space="preserve"> of </w:t>
      </w:r>
      <w:r w:rsidR="00304900">
        <w:rPr>
          <w:sz w:val="24"/>
        </w:rPr>
        <w:t xml:space="preserve">an individual </w:t>
      </w:r>
      <w:r w:rsidR="00CC252A">
        <w:rPr>
          <w:sz w:val="24"/>
        </w:rPr>
        <w:t xml:space="preserve">upon the written recommendation of a Regional or Training School Director </w:t>
      </w:r>
      <w:r w:rsidR="009121D1">
        <w:rPr>
          <w:sz w:val="24"/>
        </w:rPr>
        <w:t xml:space="preserve">or a DDS qualified provider </w:t>
      </w:r>
      <w:r w:rsidR="00F51347">
        <w:rPr>
          <w:sz w:val="24"/>
        </w:rPr>
        <w:t xml:space="preserve">from a residential facility that is operated, licensed or funded by DDS to another such residential facility </w:t>
      </w:r>
      <w:r w:rsidR="00DD5BE0">
        <w:rPr>
          <w:sz w:val="24"/>
        </w:rPr>
        <w:t xml:space="preserve">for the following reasons </w:t>
      </w:r>
      <w:r w:rsidR="00F51347">
        <w:rPr>
          <w:sz w:val="24"/>
        </w:rPr>
        <w:t>including, but not limited to</w:t>
      </w:r>
      <w:r w:rsidR="00DD5BE0">
        <w:rPr>
          <w:sz w:val="24"/>
        </w:rPr>
        <w:t>:</w:t>
      </w:r>
    </w:p>
    <w:p w14:paraId="47F5D429" w14:textId="77777777" w:rsidR="00ED3D18" w:rsidRPr="00ED3D18" w:rsidRDefault="00F51347" w:rsidP="00C218CC">
      <w:pPr>
        <w:pStyle w:val="BodyText"/>
        <w:numPr>
          <w:ilvl w:val="2"/>
          <w:numId w:val="5"/>
        </w:numPr>
        <w:ind w:left="1080" w:hanging="360"/>
        <w:rPr>
          <w:sz w:val="24"/>
        </w:rPr>
      </w:pPr>
      <w:r w:rsidRPr="009F014A">
        <w:rPr>
          <w:color w:val="000000"/>
          <w:sz w:val="24"/>
        </w:rPr>
        <w:t>when necessary and desirable for the</w:t>
      </w:r>
      <w:r w:rsidR="00ED3D18">
        <w:rPr>
          <w:color w:val="000000"/>
          <w:sz w:val="24"/>
        </w:rPr>
        <w:t xml:space="preserve"> individual’s</w:t>
      </w:r>
      <w:r w:rsidRPr="009F014A">
        <w:rPr>
          <w:color w:val="000000"/>
          <w:sz w:val="24"/>
        </w:rPr>
        <w:t xml:space="preserve"> welfare</w:t>
      </w:r>
      <w:r w:rsidR="00ED3D18">
        <w:rPr>
          <w:color w:val="000000"/>
          <w:sz w:val="24"/>
        </w:rPr>
        <w:t>;</w:t>
      </w:r>
    </w:p>
    <w:p w14:paraId="3CD90BF3" w14:textId="77777777" w:rsidR="00ED3D18" w:rsidRPr="00ED3D18" w:rsidRDefault="00ED3D18" w:rsidP="00C218CC">
      <w:pPr>
        <w:pStyle w:val="BodyText"/>
        <w:numPr>
          <w:ilvl w:val="2"/>
          <w:numId w:val="5"/>
        </w:numPr>
        <w:ind w:left="1080" w:hanging="360"/>
        <w:rPr>
          <w:sz w:val="24"/>
        </w:rPr>
      </w:pPr>
      <w:r>
        <w:rPr>
          <w:color w:val="000000"/>
          <w:sz w:val="24"/>
        </w:rPr>
        <w:t>for the health and safety of the individual; or</w:t>
      </w:r>
    </w:p>
    <w:p w14:paraId="6DAC480F" w14:textId="77777777" w:rsidR="00551FDB" w:rsidRDefault="00ED3D18" w:rsidP="00782A6D">
      <w:pPr>
        <w:pStyle w:val="BodyText"/>
        <w:numPr>
          <w:ilvl w:val="2"/>
          <w:numId w:val="5"/>
        </w:numPr>
        <w:spacing w:after="0"/>
        <w:ind w:left="1080" w:hanging="360"/>
        <w:rPr>
          <w:sz w:val="24"/>
        </w:rPr>
      </w:pPr>
      <w:r>
        <w:rPr>
          <w:color w:val="000000"/>
          <w:sz w:val="24"/>
        </w:rPr>
        <w:t xml:space="preserve">to </w:t>
      </w:r>
      <w:r w:rsidRPr="009F014A">
        <w:rPr>
          <w:color w:val="000000"/>
          <w:sz w:val="24"/>
        </w:rPr>
        <w:t xml:space="preserve">provide greater opportunity for personal development </w:t>
      </w:r>
      <w:r>
        <w:rPr>
          <w:color w:val="000000"/>
          <w:sz w:val="24"/>
        </w:rPr>
        <w:t>for the individual.</w:t>
      </w:r>
      <w:bookmarkEnd w:id="4"/>
    </w:p>
    <w:p w14:paraId="2A376FC7" w14:textId="77777777" w:rsidR="00782A6D" w:rsidRPr="00782A6D" w:rsidRDefault="00782A6D" w:rsidP="00782A6D">
      <w:pPr>
        <w:pStyle w:val="BodyText"/>
        <w:spacing w:after="0"/>
        <w:ind w:left="720"/>
        <w:rPr>
          <w:sz w:val="16"/>
          <w:szCs w:val="16"/>
        </w:rPr>
      </w:pPr>
    </w:p>
    <w:p w14:paraId="05555F0A" w14:textId="105A14B9" w:rsidR="00ED3D18" w:rsidRPr="00231320" w:rsidRDefault="00ED3D18" w:rsidP="00ED3D18">
      <w:pPr>
        <w:pStyle w:val="BodyText"/>
        <w:numPr>
          <w:ilvl w:val="1"/>
          <w:numId w:val="4"/>
        </w:numPr>
        <w:ind w:left="720"/>
        <w:rPr>
          <w:sz w:val="24"/>
        </w:rPr>
      </w:pPr>
      <w:r>
        <w:rPr>
          <w:sz w:val="24"/>
        </w:rPr>
        <w:t xml:space="preserve">The Commissioner may </w:t>
      </w:r>
      <w:r w:rsidR="00DD5BE0">
        <w:rPr>
          <w:sz w:val="24"/>
        </w:rPr>
        <w:t xml:space="preserve">make an emergency </w:t>
      </w:r>
      <w:r>
        <w:rPr>
          <w:sz w:val="24"/>
        </w:rPr>
        <w:t xml:space="preserve">transfer </w:t>
      </w:r>
      <w:r w:rsidR="00DD5BE0">
        <w:rPr>
          <w:sz w:val="24"/>
        </w:rPr>
        <w:t xml:space="preserve">of </w:t>
      </w:r>
      <w:r>
        <w:rPr>
          <w:sz w:val="24"/>
        </w:rPr>
        <w:t xml:space="preserve">an individual </w:t>
      </w:r>
      <w:r w:rsidR="00827523">
        <w:rPr>
          <w:sz w:val="24"/>
        </w:rPr>
        <w:t xml:space="preserve">upon the written recommendation of a Regional or Training School Director or a DDS qualified provider </w:t>
      </w:r>
      <w:r>
        <w:rPr>
          <w:sz w:val="24"/>
        </w:rPr>
        <w:t xml:space="preserve">from a residential facility that is operated, licensed or funded by DDS to another such residential facility </w:t>
      </w:r>
      <w:r w:rsidR="00DD5BE0">
        <w:rPr>
          <w:sz w:val="24"/>
        </w:rPr>
        <w:t xml:space="preserve">for the following reasons </w:t>
      </w:r>
      <w:r>
        <w:rPr>
          <w:sz w:val="24"/>
        </w:rPr>
        <w:t>including, but not limited to</w:t>
      </w:r>
      <w:r w:rsidRPr="00231320">
        <w:rPr>
          <w:sz w:val="24"/>
        </w:rPr>
        <w:t>:</w:t>
      </w:r>
    </w:p>
    <w:p w14:paraId="372BB237" w14:textId="44C06288" w:rsidR="00ED3D18" w:rsidRPr="00ED3D18" w:rsidRDefault="00DD5BE0" w:rsidP="002262E5">
      <w:pPr>
        <w:pStyle w:val="BodyText"/>
        <w:numPr>
          <w:ilvl w:val="2"/>
          <w:numId w:val="18"/>
        </w:numPr>
        <w:ind w:left="1080" w:hanging="360"/>
        <w:rPr>
          <w:sz w:val="24"/>
        </w:rPr>
      </w:pPr>
      <w:r w:rsidRPr="009F014A">
        <w:rPr>
          <w:color w:val="000000"/>
          <w:sz w:val="24"/>
        </w:rPr>
        <w:t xml:space="preserve">when necessary to avoid a serious and immediate threat to the life or physical or mental health of </w:t>
      </w:r>
      <w:r>
        <w:rPr>
          <w:color w:val="000000"/>
          <w:sz w:val="24"/>
        </w:rPr>
        <w:t>the individual</w:t>
      </w:r>
      <w:r w:rsidR="000D5B69" w:rsidRPr="002B4ECD">
        <w:rPr>
          <w:color w:val="000000"/>
          <w:sz w:val="24"/>
        </w:rPr>
        <w:t>.</w:t>
      </w:r>
      <w:r w:rsidR="00D745D6" w:rsidRPr="002B4ECD">
        <w:rPr>
          <w:color w:val="000000"/>
          <w:sz w:val="24"/>
        </w:rPr>
        <w:t xml:space="preserve"> </w:t>
      </w:r>
      <w:r w:rsidR="000D5B69" w:rsidRPr="002B4ECD">
        <w:rPr>
          <w:color w:val="000000"/>
          <w:sz w:val="24"/>
        </w:rPr>
        <w:t xml:space="preserve"> Such serious or immediate threat may include</w:t>
      </w:r>
      <w:r w:rsidR="00D745D6" w:rsidRPr="002B4ECD">
        <w:rPr>
          <w:color w:val="000000"/>
          <w:sz w:val="24"/>
        </w:rPr>
        <w:t xml:space="preserve"> if the individual has a </w:t>
      </w:r>
      <w:r w:rsidR="002F00BB" w:rsidRPr="002B4ECD">
        <w:rPr>
          <w:color w:val="000000"/>
          <w:sz w:val="24"/>
        </w:rPr>
        <w:t xml:space="preserve">medical reason or a </w:t>
      </w:r>
      <w:r w:rsidR="00D745D6" w:rsidRPr="002B4ECD">
        <w:rPr>
          <w:color w:val="000000"/>
          <w:sz w:val="24"/>
        </w:rPr>
        <w:t>medical condition that cannot be appropriately treated in the individual’s current residential facility</w:t>
      </w:r>
      <w:r w:rsidR="00ED3D18" w:rsidRPr="002B4ECD">
        <w:rPr>
          <w:color w:val="000000"/>
          <w:sz w:val="24"/>
        </w:rPr>
        <w:t>;</w:t>
      </w:r>
      <w:r w:rsidR="002262E5">
        <w:rPr>
          <w:color w:val="000000"/>
          <w:sz w:val="24"/>
        </w:rPr>
        <w:t xml:space="preserve"> </w:t>
      </w:r>
    </w:p>
    <w:p w14:paraId="64A8DB71" w14:textId="77777777" w:rsidR="002258C6" w:rsidRPr="00304900" w:rsidRDefault="00DD5BE0" w:rsidP="002262E5">
      <w:pPr>
        <w:pStyle w:val="BodyText"/>
        <w:numPr>
          <w:ilvl w:val="0"/>
          <w:numId w:val="19"/>
        </w:numPr>
        <w:ind w:left="1080" w:hanging="360"/>
        <w:rPr>
          <w:sz w:val="24"/>
        </w:rPr>
      </w:pPr>
      <w:r w:rsidRPr="009F014A">
        <w:rPr>
          <w:color w:val="000000"/>
          <w:sz w:val="24"/>
        </w:rPr>
        <w:t xml:space="preserve">when necessary to avoid a serious and immediate threat to the life or physical or mental </w:t>
      </w:r>
      <w:r w:rsidRPr="001E5AEB">
        <w:rPr>
          <w:color w:val="000000"/>
          <w:sz w:val="24"/>
        </w:rPr>
        <w:t xml:space="preserve">health of </w:t>
      </w:r>
      <w:r w:rsidR="002262E5" w:rsidRPr="001E5AEB">
        <w:rPr>
          <w:color w:val="000000"/>
          <w:sz w:val="24"/>
        </w:rPr>
        <w:t xml:space="preserve">another </w:t>
      </w:r>
      <w:r w:rsidRPr="001E5AEB">
        <w:rPr>
          <w:color w:val="000000"/>
          <w:sz w:val="24"/>
        </w:rPr>
        <w:t xml:space="preserve">person residing in </w:t>
      </w:r>
      <w:r w:rsidR="002262E5" w:rsidRPr="001E5AEB">
        <w:rPr>
          <w:color w:val="000000"/>
          <w:sz w:val="24"/>
        </w:rPr>
        <w:t xml:space="preserve">the </w:t>
      </w:r>
      <w:r w:rsidRPr="001E5AEB">
        <w:rPr>
          <w:color w:val="000000"/>
          <w:sz w:val="24"/>
        </w:rPr>
        <w:t>facility</w:t>
      </w:r>
      <w:r w:rsidR="00ED3D18" w:rsidRPr="001E5AEB">
        <w:rPr>
          <w:color w:val="000000"/>
          <w:sz w:val="24"/>
        </w:rPr>
        <w:t>;</w:t>
      </w:r>
    </w:p>
    <w:p w14:paraId="2260A892" w14:textId="0D7A6A2F" w:rsidR="00ED3D18" w:rsidRPr="001E5AEB" w:rsidRDefault="009121D1" w:rsidP="002262E5">
      <w:pPr>
        <w:pStyle w:val="BodyText"/>
        <w:numPr>
          <w:ilvl w:val="0"/>
          <w:numId w:val="19"/>
        </w:numPr>
        <w:ind w:left="1080" w:hanging="360"/>
        <w:rPr>
          <w:sz w:val="24"/>
        </w:rPr>
      </w:pPr>
      <w:r w:rsidRPr="001E5AEB">
        <w:rPr>
          <w:color w:val="000000"/>
          <w:sz w:val="24"/>
        </w:rPr>
        <w:t xml:space="preserve"> </w:t>
      </w:r>
      <w:r w:rsidR="002258C6" w:rsidRPr="001E5AEB">
        <w:rPr>
          <w:color w:val="000000"/>
          <w:sz w:val="24"/>
        </w:rPr>
        <w:t xml:space="preserve">when </w:t>
      </w:r>
      <w:r w:rsidR="002258C6" w:rsidRPr="0037585B">
        <w:rPr>
          <w:sz w:val="24"/>
        </w:rPr>
        <w:t xml:space="preserve">a community companion home licensee has (1) relinquished the CCH license; (2) had the CCH license revoked by DDS; or (3) requested that an individual living in the community companion home leave; </w:t>
      </w:r>
      <w:r w:rsidRPr="001E5AEB">
        <w:rPr>
          <w:color w:val="000000"/>
          <w:sz w:val="24"/>
        </w:rPr>
        <w:t>or</w:t>
      </w:r>
    </w:p>
    <w:p w14:paraId="712FB28B" w14:textId="77777777" w:rsidR="009121D1" w:rsidRPr="00ED3D18" w:rsidRDefault="009121D1" w:rsidP="00782A6D">
      <w:pPr>
        <w:pStyle w:val="BodyText"/>
        <w:numPr>
          <w:ilvl w:val="0"/>
          <w:numId w:val="19"/>
        </w:numPr>
        <w:spacing w:after="0"/>
        <w:ind w:left="1080" w:hanging="360"/>
        <w:rPr>
          <w:sz w:val="24"/>
        </w:rPr>
      </w:pPr>
      <w:r>
        <w:rPr>
          <w:sz w:val="24"/>
        </w:rPr>
        <w:t>at the discretion of the Commissioner.</w:t>
      </w:r>
    </w:p>
    <w:p w14:paraId="757692A2" w14:textId="77777777" w:rsidR="00782A6D" w:rsidRPr="00782A6D" w:rsidRDefault="00782A6D" w:rsidP="00782A6D">
      <w:pPr>
        <w:pStyle w:val="BodyText"/>
        <w:spacing w:after="0"/>
        <w:ind w:left="720"/>
        <w:rPr>
          <w:sz w:val="16"/>
          <w:szCs w:val="16"/>
        </w:rPr>
      </w:pPr>
    </w:p>
    <w:p w14:paraId="6E336985" w14:textId="4BB38ADF" w:rsidR="00201A26" w:rsidRPr="00782A6D" w:rsidRDefault="00201A26" w:rsidP="002F7CAF">
      <w:pPr>
        <w:pStyle w:val="BodyText"/>
        <w:numPr>
          <w:ilvl w:val="1"/>
          <w:numId w:val="4"/>
        </w:numPr>
        <w:spacing w:after="0"/>
        <w:ind w:left="720"/>
        <w:rPr>
          <w:sz w:val="24"/>
        </w:rPr>
      </w:pPr>
      <w:bookmarkStart w:id="5" w:name="_Hlk110435991"/>
      <w:r w:rsidRPr="00201A26">
        <w:rPr>
          <w:sz w:val="24"/>
        </w:rPr>
        <w:t>A request for a move or a transfer of an individual from one residential facility to another residential facility may be (1) initiated by the individual’s planning and support team with the involvement of the individual and the individual’s legal representative, if any; or (2) initiated by the individual or the individual’s legal representative, if any, using portability.  The individual’s case manager shall document the request for the move or transfer in the individual’s case notes.  The case manager shall retain in the individual’s case file any documentation (e.g., letter, email communication) that the request for the move or transfer was made at the request of the individual or the individual’s legal representative, if any, and that any move or transfer would be voluntary.</w:t>
      </w:r>
    </w:p>
    <w:bookmarkEnd w:id="5"/>
    <w:p w14:paraId="514C7D43" w14:textId="77777777" w:rsidR="00782A6D" w:rsidRPr="00782A6D" w:rsidRDefault="00782A6D" w:rsidP="00782A6D">
      <w:pPr>
        <w:pStyle w:val="BodyText"/>
        <w:spacing w:after="0"/>
        <w:ind w:left="720"/>
        <w:rPr>
          <w:sz w:val="16"/>
          <w:szCs w:val="16"/>
        </w:rPr>
      </w:pPr>
    </w:p>
    <w:p w14:paraId="5A1D805E" w14:textId="6CBEDE34" w:rsidR="00551FDB" w:rsidRPr="00231320" w:rsidRDefault="00551FDB" w:rsidP="002F7CAF">
      <w:pPr>
        <w:pStyle w:val="BodyText"/>
        <w:numPr>
          <w:ilvl w:val="0"/>
          <w:numId w:val="38"/>
        </w:numPr>
        <w:ind w:left="720"/>
        <w:rPr>
          <w:sz w:val="24"/>
        </w:rPr>
      </w:pPr>
      <w:r w:rsidRPr="00231320">
        <w:rPr>
          <w:sz w:val="24"/>
        </w:rPr>
        <w:t xml:space="preserve">Notice of Intent to Transfer </w:t>
      </w:r>
      <w:r w:rsidR="001B3194" w:rsidRPr="0037585B">
        <w:rPr>
          <w:sz w:val="24"/>
        </w:rPr>
        <w:t xml:space="preserve">and Notice of </w:t>
      </w:r>
      <w:r w:rsidR="00EA3CA9" w:rsidRPr="0037585B">
        <w:rPr>
          <w:sz w:val="24"/>
        </w:rPr>
        <w:t xml:space="preserve">Emergency </w:t>
      </w:r>
      <w:r w:rsidR="001B3194" w:rsidRPr="0037585B">
        <w:rPr>
          <w:sz w:val="24"/>
        </w:rPr>
        <w:t>Transfer</w:t>
      </w:r>
    </w:p>
    <w:p w14:paraId="26ADD19E" w14:textId="16264783" w:rsidR="007016C4" w:rsidRPr="007016C4" w:rsidRDefault="0027083E" w:rsidP="007016C4">
      <w:pPr>
        <w:pStyle w:val="BodyText"/>
        <w:numPr>
          <w:ilvl w:val="2"/>
          <w:numId w:val="6"/>
        </w:numPr>
        <w:spacing w:after="0"/>
        <w:ind w:left="1080" w:hanging="360"/>
        <w:rPr>
          <w:iCs/>
          <w:sz w:val="24"/>
        </w:rPr>
      </w:pPr>
      <w:bookmarkStart w:id="6" w:name="_Hlk108420968"/>
      <w:r>
        <w:rPr>
          <w:sz w:val="24"/>
        </w:rPr>
        <w:t xml:space="preserve">If the </w:t>
      </w:r>
      <w:r w:rsidR="009C408D">
        <w:rPr>
          <w:sz w:val="24"/>
        </w:rPr>
        <w:t>C</w:t>
      </w:r>
      <w:r>
        <w:rPr>
          <w:sz w:val="24"/>
        </w:rPr>
        <w:t xml:space="preserve">ommissioner has made a determination that a transfer of an individual </w:t>
      </w:r>
      <w:bookmarkEnd w:id="6"/>
      <w:r>
        <w:rPr>
          <w:sz w:val="24"/>
        </w:rPr>
        <w:t xml:space="preserve">should be made and appropriate planning for the transfer is in place, except in emergency </w:t>
      </w:r>
      <w:r w:rsidR="00735ECE">
        <w:rPr>
          <w:sz w:val="24"/>
        </w:rPr>
        <w:t xml:space="preserve">transfer </w:t>
      </w:r>
      <w:r>
        <w:rPr>
          <w:sz w:val="24"/>
        </w:rPr>
        <w:t xml:space="preserve">cases, DDS shall </w:t>
      </w:r>
      <w:r w:rsidR="00551FDB" w:rsidRPr="00FD24BF">
        <w:rPr>
          <w:sz w:val="24"/>
        </w:rPr>
        <w:t xml:space="preserve">inform the individual and </w:t>
      </w:r>
      <w:r w:rsidR="00F3381F" w:rsidRPr="00FD24BF">
        <w:rPr>
          <w:sz w:val="24"/>
        </w:rPr>
        <w:t>the individual’s</w:t>
      </w:r>
      <w:r w:rsidR="003F2068" w:rsidRPr="00FD24BF">
        <w:rPr>
          <w:sz w:val="24"/>
        </w:rPr>
        <w:t xml:space="preserve"> </w:t>
      </w:r>
      <w:r w:rsidR="00551FDB" w:rsidRPr="00FD24BF">
        <w:rPr>
          <w:sz w:val="24"/>
        </w:rPr>
        <w:t>legal representative</w:t>
      </w:r>
      <w:r w:rsidR="007B3AC0" w:rsidRPr="00FD24BF">
        <w:rPr>
          <w:sz w:val="24"/>
        </w:rPr>
        <w:t xml:space="preserve"> of the intent to transfer</w:t>
      </w:r>
      <w:r w:rsidR="00551FDB" w:rsidRPr="00FD24BF">
        <w:rPr>
          <w:sz w:val="24"/>
        </w:rPr>
        <w:t xml:space="preserve"> through a Notice of Intent to Transfer.</w:t>
      </w:r>
    </w:p>
    <w:p w14:paraId="38D285CB" w14:textId="1FC48E63" w:rsidR="00551FDB" w:rsidRPr="00344D62" w:rsidRDefault="00551FDB" w:rsidP="007016C4">
      <w:pPr>
        <w:pStyle w:val="BodyText"/>
        <w:spacing w:after="0"/>
        <w:ind w:left="1080"/>
        <w:rPr>
          <w:iCs/>
          <w:sz w:val="16"/>
          <w:szCs w:val="16"/>
        </w:rPr>
      </w:pPr>
    </w:p>
    <w:p w14:paraId="4718CA9A" w14:textId="55921F8A" w:rsidR="00C836A7" w:rsidRPr="0035172B" w:rsidRDefault="0027083E" w:rsidP="001E5AEB">
      <w:pPr>
        <w:pStyle w:val="BodyText"/>
        <w:numPr>
          <w:ilvl w:val="1"/>
          <w:numId w:val="7"/>
        </w:numPr>
        <w:ind w:left="1440"/>
        <w:rPr>
          <w:sz w:val="24"/>
        </w:rPr>
      </w:pPr>
      <w:r w:rsidRPr="0035172B">
        <w:rPr>
          <w:sz w:val="24"/>
        </w:rPr>
        <w:t>The individual’s DDS case manager shall send t</w:t>
      </w:r>
      <w:r w:rsidR="00551FDB" w:rsidRPr="0035172B">
        <w:rPr>
          <w:sz w:val="24"/>
        </w:rPr>
        <w:t xml:space="preserve">he Notice of Intent to Transfer </w:t>
      </w:r>
      <w:r w:rsidRPr="0035172B">
        <w:rPr>
          <w:sz w:val="24"/>
        </w:rPr>
        <w:t>by</w:t>
      </w:r>
      <w:r w:rsidR="00551FDB" w:rsidRPr="0035172B">
        <w:rPr>
          <w:sz w:val="24"/>
        </w:rPr>
        <w:t xml:space="preserve"> certified mail</w:t>
      </w:r>
      <w:r w:rsidR="00C836A7" w:rsidRPr="0035172B">
        <w:rPr>
          <w:sz w:val="24"/>
        </w:rPr>
        <w:t xml:space="preserve"> and by secure email, if ap</w:t>
      </w:r>
      <w:r w:rsidR="001E5AEB" w:rsidRPr="0035172B">
        <w:rPr>
          <w:sz w:val="24"/>
        </w:rPr>
        <w:t>plicable,</w:t>
      </w:r>
      <w:r w:rsidR="00683FFE" w:rsidRPr="0035172B">
        <w:rPr>
          <w:sz w:val="24"/>
        </w:rPr>
        <w:t xml:space="preserve"> </w:t>
      </w:r>
      <w:r w:rsidRPr="0035172B">
        <w:rPr>
          <w:sz w:val="24"/>
        </w:rPr>
        <w:t xml:space="preserve">not </w:t>
      </w:r>
      <w:r w:rsidR="00633A60" w:rsidRPr="0035172B">
        <w:rPr>
          <w:sz w:val="24"/>
        </w:rPr>
        <w:t>fewer</w:t>
      </w:r>
      <w:r w:rsidRPr="0035172B">
        <w:rPr>
          <w:sz w:val="24"/>
        </w:rPr>
        <w:t xml:space="preserve"> than</w:t>
      </w:r>
      <w:r w:rsidR="00551FDB" w:rsidRPr="0035172B">
        <w:rPr>
          <w:sz w:val="24"/>
        </w:rPr>
        <w:t xml:space="preserve"> </w:t>
      </w:r>
      <w:r w:rsidR="00394C4E" w:rsidRPr="0035172B">
        <w:rPr>
          <w:sz w:val="24"/>
        </w:rPr>
        <w:t>15</w:t>
      </w:r>
      <w:r w:rsidR="00735ECE" w:rsidRPr="0035172B">
        <w:rPr>
          <w:sz w:val="24"/>
        </w:rPr>
        <w:t xml:space="preserve"> </w:t>
      </w:r>
      <w:r w:rsidR="00551FDB" w:rsidRPr="0035172B">
        <w:rPr>
          <w:sz w:val="24"/>
        </w:rPr>
        <w:t>days prior to the proposed transfer.</w:t>
      </w:r>
      <w:r w:rsidR="007B7BFB" w:rsidRPr="0035172B">
        <w:rPr>
          <w:sz w:val="24"/>
        </w:rPr>
        <w:t xml:space="preserve"> </w:t>
      </w:r>
    </w:p>
    <w:p w14:paraId="2889A1B4" w14:textId="319BEA04" w:rsidR="00551FDB" w:rsidRPr="001E5AEB" w:rsidRDefault="00551FDB" w:rsidP="001E5AEB">
      <w:pPr>
        <w:pStyle w:val="BodyText"/>
        <w:numPr>
          <w:ilvl w:val="1"/>
          <w:numId w:val="7"/>
        </w:numPr>
        <w:ind w:left="1440"/>
        <w:rPr>
          <w:sz w:val="24"/>
        </w:rPr>
      </w:pPr>
      <w:r w:rsidRPr="001E5AEB">
        <w:rPr>
          <w:sz w:val="24"/>
        </w:rPr>
        <w:t xml:space="preserve">The Notice of Intent to Transfer shall be </w:t>
      </w:r>
      <w:r w:rsidR="002C185C" w:rsidRPr="001E5AEB">
        <w:rPr>
          <w:sz w:val="24"/>
        </w:rPr>
        <w:t xml:space="preserve">signed by </w:t>
      </w:r>
      <w:r w:rsidR="00C25DA8" w:rsidRPr="00FF24DB">
        <w:rPr>
          <w:sz w:val="24"/>
        </w:rPr>
        <w:t>the indiv</w:t>
      </w:r>
      <w:r w:rsidR="00277917" w:rsidRPr="00FF24DB">
        <w:rPr>
          <w:sz w:val="24"/>
        </w:rPr>
        <w:t>i</w:t>
      </w:r>
      <w:r w:rsidR="00C25DA8" w:rsidRPr="00FF24DB">
        <w:rPr>
          <w:sz w:val="24"/>
        </w:rPr>
        <w:t xml:space="preserve">dual’s </w:t>
      </w:r>
      <w:r w:rsidR="00277917" w:rsidRPr="00FF24DB">
        <w:rPr>
          <w:sz w:val="24"/>
        </w:rPr>
        <w:t>case manager and</w:t>
      </w:r>
      <w:r w:rsidR="00277917" w:rsidRPr="00FF24DB">
        <w:rPr>
          <w:b/>
          <w:sz w:val="24"/>
        </w:rPr>
        <w:t xml:space="preserve"> </w:t>
      </w:r>
      <w:r w:rsidR="00A63A23" w:rsidRPr="001E5AEB">
        <w:rPr>
          <w:sz w:val="24"/>
        </w:rPr>
        <w:t xml:space="preserve">the Regional </w:t>
      </w:r>
      <w:r w:rsidR="00281840" w:rsidRPr="001E5AEB">
        <w:rPr>
          <w:sz w:val="24"/>
        </w:rPr>
        <w:t xml:space="preserve">or Training School </w:t>
      </w:r>
      <w:r w:rsidR="00A63A23" w:rsidRPr="001E5AEB">
        <w:rPr>
          <w:sz w:val="24"/>
        </w:rPr>
        <w:t>Director</w:t>
      </w:r>
      <w:r w:rsidR="00C836A7">
        <w:rPr>
          <w:sz w:val="24"/>
        </w:rPr>
        <w:t>,</w:t>
      </w:r>
      <w:r w:rsidR="002C185C" w:rsidRPr="001E5AEB">
        <w:rPr>
          <w:sz w:val="24"/>
        </w:rPr>
        <w:t xml:space="preserve"> or </w:t>
      </w:r>
      <w:r w:rsidR="00281840" w:rsidRPr="001E5AEB">
        <w:rPr>
          <w:sz w:val="24"/>
        </w:rPr>
        <w:t xml:space="preserve">the </w:t>
      </w:r>
      <w:r w:rsidR="00143A94" w:rsidRPr="001E5AEB">
        <w:rPr>
          <w:sz w:val="24"/>
        </w:rPr>
        <w:t>d</w:t>
      </w:r>
      <w:r w:rsidR="00281840" w:rsidRPr="001E5AEB">
        <w:rPr>
          <w:sz w:val="24"/>
        </w:rPr>
        <w:t xml:space="preserve">irector’s </w:t>
      </w:r>
      <w:r w:rsidR="002C185C" w:rsidRPr="001E5AEB">
        <w:rPr>
          <w:sz w:val="24"/>
        </w:rPr>
        <w:t>designee</w:t>
      </w:r>
      <w:r w:rsidR="00683FFE" w:rsidRPr="001E5AEB">
        <w:rPr>
          <w:sz w:val="24"/>
        </w:rPr>
        <w:t>.</w:t>
      </w:r>
    </w:p>
    <w:p w14:paraId="430D3E8C" w14:textId="2576DF66" w:rsidR="00551FDB" w:rsidRPr="00FD24BF" w:rsidRDefault="00551FDB" w:rsidP="00C218CC">
      <w:pPr>
        <w:pStyle w:val="ListParagraph"/>
        <w:numPr>
          <w:ilvl w:val="1"/>
          <w:numId w:val="7"/>
        </w:numPr>
        <w:spacing w:after="120" w:line="220" w:lineRule="atLeast"/>
        <w:ind w:left="1440"/>
        <w:rPr>
          <w:iCs/>
        </w:rPr>
      </w:pPr>
      <w:r w:rsidRPr="00FD24BF">
        <w:t xml:space="preserve">The notice shall contain the date of the proposed transfer, </w:t>
      </w:r>
      <w:r w:rsidR="00281840">
        <w:t xml:space="preserve">the address of the residence the individual is proposed to be transferred to, </w:t>
      </w:r>
      <w:r w:rsidRPr="00FD24BF">
        <w:t xml:space="preserve">notice of the right </w:t>
      </w:r>
      <w:r w:rsidR="00281840">
        <w:t xml:space="preserve">of the individual </w:t>
      </w:r>
      <w:r w:rsidRPr="00FD24BF">
        <w:t xml:space="preserve">to object to the proposed transfer, </w:t>
      </w:r>
      <w:bookmarkStart w:id="7" w:name="_Hlk86654414"/>
      <w:r w:rsidRPr="00FD24BF">
        <w:t xml:space="preserve">the right to a hearing on the proposed transfer, and the </w:t>
      </w:r>
      <w:r w:rsidR="008C15AA" w:rsidRPr="00FD24BF">
        <w:t xml:space="preserve">address and telephone number </w:t>
      </w:r>
      <w:r w:rsidRPr="00FD24BF">
        <w:t xml:space="preserve">of </w:t>
      </w:r>
      <w:r w:rsidR="00281840">
        <w:t>Disability Rights Connecticut, Inc</w:t>
      </w:r>
      <w:bookmarkEnd w:id="7"/>
      <w:r w:rsidR="00EA2D4E">
        <w:t>.</w:t>
      </w:r>
      <w:r w:rsidR="00C836A7">
        <w:t>,</w:t>
      </w:r>
      <w:r w:rsidR="00EA2D4E">
        <w:t xml:space="preserve"> or a successor agency</w:t>
      </w:r>
      <w:r w:rsidR="00E031C0" w:rsidRPr="00FD24BF">
        <w:t>.</w:t>
      </w:r>
    </w:p>
    <w:p w14:paraId="6E2557A0" w14:textId="77777777" w:rsidR="00551FDB" w:rsidRPr="00FD24BF" w:rsidRDefault="00551FDB" w:rsidP="007016C4">
      <w:pPr>
        <w:pStyle w:val="BodyTextIndent"/>
        <w:numPr>
          <w:ilvl w:val="1"/>
          <w:numId w:val="7"/>
        </w:numPr>
        <w:spacing w:after="0"/>
        <w:ind w:left="1440"/>
      </w:pPr>
      <w:bookmarkStart w:id="8" w:name="_Hlk110849945"/>
      <w:r w:rsidRPr="00FD24BF">
        <w:t>A copy of th</w:t>
      </w:r>
      <w:r w:rsidR="007E1FB6">
        <w:t>is</w:t>
      </w:r>
      <w:r w:rsidRPr="00FD24BF">
        <w:t xml:space="preserve"> notice shall be sent to a representative of the individual’s current residential program and a copy shall be placed in </w:t>
      </w:r>
      <w:r w:rsidR="00167342" w:rsidRPr="00FD24BF">
        <w:t>the individual’s</w:t>
      </w:r>
      <w:r w:rsidRPr="00FD24BF">
        <w:t xml:space="preserve"> </w:t>
      </w:r>
      <w:r w:rsidR="007E1FB6">
        <w:t>m</w:t>
      </w:r>
      <w:r w:rsidRPr="00FD24BF">
        <w:t xml:space="preserve">aster </w:t>
      </w:r>
      <w:r w:rsidR="007E1FB6">
        <w:t>f</w:t>
      </w:r>
      <w:r w:rsidRPr="00FD24BF">
        <w:t>ile by the case manager.</w:t>
      </w:r>
      <w:bookmarkEnd w:id="8"/>
    </w:p>
    <w:p w14:paraId="305294D3" w14:textId="77777777" w:rsidR="007016C4" w:rsidRPr="007016C4" w:rsidRDefault="007016C4" w:rsidP="007016C4">
      <w:pPr>
        <w:pStyle w:val="BodyTextIndent"/>
        <w:spacing w:after="0"/>
        <w:ind w:left="1080"/>
        <w:rPr>
          <w:iCs/>
          <w:sz w:val="16"/>
          <w:szCs w:val="16"/>
        </w:rPr>
      </w:pPr>
    </w:p>
    <w:p w14:paraId="7910C7B6" w14:textId="296029B0" w:rsidR="00DD6ADC" w:rsidRPr="00344D62" w:rsidRDefault="009607FC" w:rsidP="009607FC">
      <w:pPr>
        <w:pStyle w:val="BodyTextIndent"/>
        <w:numPr>
          <w:ilvl w:val="0"/>
          <w:numId w:val="35"/>
        </w:numPr>
        <w:spacing w:after="0"/>
        <w:ind w:left="1080"/>
        <w:rPr>
          <w:iCs/>
        </w:rPr>
      </w:pPr>
      <w:r w:rsidRPr="0037585B">
        <w:t>If the Commissioner has transferred an individual on an emergency basis,</w:t>
      </w:r>
      <w:r w:rsidR="00290E45" w:rsidRPr="0037585B">
        <w:t xml:space="preserve"> </w:t>
      </w:r>
      <w:r w:rsidR="007B6D25">
        <w:t>the individual’s case manager shall send</w:t>
      </w:r>
      <w:r w:rsidR="007D58DC">
        <w:t xml:space="preserve"> a Notice of Transfer to the individual and the individual’s legal representative, if any, by certified mail and by secure email, if applicable, </w:t>
      </w:r>
      <w:r w:rsidR="00176C9F" w:rsidRPr="0037585B">
        <w:t>as soon as possible but not more than 10 days following the emergency transfer</w:t>
      </w:r>
      <w:r w:rsidR="00DD6ADC">
        <w:t>.</w:t>
      </w:r>
    </w:p>
    <w:p w14:paraId="692C1A34" w14:textId="77777777" w:rsidR="00344D62" w:rsidRPr="00344D62" w:rsidRDefault="00344D62" w:rsidP="00344D62">
      <w:pPr>
        <w:pStyle w:val="BodyTextIndent"/>
        <w:spacing w:after="0"/>
        <w:ind w:left="1080"/>
        <w:rPr>
          <w:iCs/>
          <w:sz w:val="16"/>
          <w:szCs w:val="16"/>
        </w:rPr>
      </w:pPr>
    </w:p>
    <w:p w14:paraId="3FCCCDC7" w14:textId="6A76381F" w:rsidR="00DD6ADC" w:rsidRPr="00DD6ADC" w:rsidRDefault="00DD6ADC" w:rsidP="00344D62">
      <w:pPr>
        <w:pStyle w:val="BodyTextIndent"/>
        <w:numPr>
          <w:ilvl w:val="0"/>
          <w:numId w:val="36"/>
        </w:numPr>
        <w:ind w:left="1440"/>
        <w:rPr>
          <w:iCs/>
        </w:rPr>
      </w:pPr>
      <w:r>
        <w:t xml:space="preserve">The Notice of Emergency Transfer shall be signed by </w:t>
      </w:r>
      <w:r w:rsidR="00277917" w:rsidRPr="00FF24DB">
        <w:t>the individual’s case manager and</w:t>
      </w:r>
      <w:r w:rsidR="00277917" w:rsidRPr="00FF24DB">
        <w:rPr>
          <w:b/>
        </w:rPr>
        <w:t xml:space="preserve"> </w:t>
      </w:r>
      <w:r>
        <w:t>the Regional or Training School Director, or the director’s designee.</w:t>
      </w:r>
    </w:p>
    <w:p w14:paraId="299F7C01" w14:textId="3146867C" w:rsidR="00551FDB" w:rsidRPr="00E515C8" w:rsidRDefault="00DD6ADC" w:rsidP="00344D62">
      <w:pPr>
        <w:pStyle w:val="BodyTextIndent"/>
        <w:numPr>
          <w:ilvl w:val="0"/>
          <w:numId w:val="36"/>
        </w:numPr>
        <w:ind w:left="1440"/>
        <w:rPr>
          <w:iCs/>
        </w:rPr>
      </w:pPr>
      <w:r>
        <w:t xml:space="preserve">The notice shall </w:t>
      </w:r>
      <w:r w:rsidR="00CE4777" w:rsidRPr="0037585B">
        <w:t xml:space="preserve">contain the date of the </w:t>
      </w:r>
      <w:r>
        <w:t xml:space="preserve">emergency </w:t>
      </w:r>
      <w:r w:rsidR="00CE4777" w:rsidRPr="0037585B">
        <w:t>transfer, the address of the residence the individual has been transferred to, notice of the right of the individual to object to the emergency transfer, the right to a hearing on the emergency transfer, and the address and telephone number of Disability Rights Connecticut, Inc., or a successor agency</w:t>
      </w:r>
      <w:r w:rsidR="00551FDB" w:rsidRPr="0037585B">
        <w:t>.</w:t>
      </w:r>
    </w:p>
    <w:p w14:paraId="748E5A36" w14:textId="6E00ACBF" w:rsidR="00E515C8" w:rsidRPr="0037585B" w:rsidRDefault="00E515C8" w:rsidP="00F26ABD">
      <w:pPr>
        <w:pStyle w:val="BodyTextIndent"/>
        <w:numPr>
          <w:ilvl w:val="0"/>
          <w:numId w:val="36"/>
        </w:numPr>
        <w:spacing w:after="0"/>
        <w:ind w:left="1440"/>
        <w:rPr>
          <w:iCs/>
        </w:rPr>
      </w:pPr>
      <w:r w:rsidRPr="00FD24BF">
        <w:t>A copy of th</w:t>
      </w:r>
      <w:r>
        <w:t>is</w:t>
      </w:r>
      <w:r w:rsidRPr="00FD24BF">
        <w:t xml:space="preserve"> notice shall be sent to a representative of the individual’s current residential program and a copy shall be placed in the individual’s </w:t>
      </w:r>
      <w:r>
        <w:t>m</w:t>
      </w:r>
      <w:r w:rsidRPr="00FD24BF">
        <w:t xml:space="preserve">aster </w:t>
      </w:r>
      <w:r>
        <w:t>f</w:t>
      </w:r>
      <w:r w:rsidRPr="00FD24BF">
        <w:t>ile by the case manager.</w:t>
      </w:r>
    </w:p>
    <w:p w14:paraId="3B1325B1" w14:textId="77777777" w:rsidR="007016C4" w:rsidRPr="007016C4" w:rsidRDefault="007016C4" w:rsidP="00F26ABD">
      <w:pPr>
        <w:pStyle w:val="ListParagraph"/>
        <w:rPr>
          <w:iCs/>
          <w:sz w:val="16"/>
          <w:szCs w:val="16"/>
        </w:rPr>
      </w:pPr>
    </w:p>
    <w:p w14:paraId="6664F4F9" w14:textId="182413AA" w:rsidR="00551FDB" w:rsidRPr="00BD30F7" w:rsidRDefault="00551FDB" w:rsidP="00DB21FD">
      <w:pPr>
        <w:pStyle w:val="ListParagraph"/>
        <w:numPr>
          <w:ilvl w:val="0"/>
          <w:numId w:val="26"/>
        </w:numPr>
        <w:spacing w:line="360" w:lineRule="auto"/>
        <w:ind w:left="720"/>
        <w:rPr>
          <w:iCs/>
        </w:rPr>
      </w:pPr>
      <w:r w:rsidRPr="00D44958">
        <w:t xml:space="preserve">Objection to Transfer </w:t>
      </w:r>
    </w:p>
    <w:p w14:paraId="4A16E0A7" w14:textId="5CD1D3FE" w:rsidR="00551FDB" w:rsidRPr="0035172B" w:rsidRDefault="00D85418" w:rsidP="00DB21FD">
      <w:pPr>
        <w:pStyle w:val="ListParagraph"/>
        <w:numPr>
          <w:ilvl w:val="2"/>
          <w:numId w:val="10"/>
        </w:numPr>
        <w:ind w:left="1080" w:hanging="360"/>
      </w:pPr>
      <w:bookmarkStart w:id="9" w:name="_Hlk106793184"/>
      <w:r w:rsidRPr="0035172B">
        <w:t>If</w:t>
      </w:r>
      <w:r w:rsidR="00551FDB" w:rsidRPr="0035172B">
        <w:t xml:space="preserve"> the individual</w:t>
      </w:r>
      <w:r w:rsidRPr="0035172B">
        <w:t>,</w:t>
      </w:r>
      <w:r w:rsidR="00551FDB" w:rsidRPr="0035172B">
        <w:t xml:space="preserve"> or </w:t>
      </w:r>
      <w:r w:rsidR="002D0057" w:rsidRPr="0035172B">
        <w:t>the individual’s</w:t>
      </w:r>
      <w:r w:rsidR="00551FDB" w:rsidRPr="0035172B">
        <w:t xml:space="preserve"> legal representative</w:t>
      </w:r>
      <w:r w:rsidRPr="0035172B">
        <w:t>,</w:t>
      </w:r>
      <w:r w:rsidR="00551FDB" w:rsidRPr="0035172B">
        <w:t xml:space="preserve"> objects to the proposed </w:t>
      </w:r>
      <w:r w:rsidR="00234959" w:rsidRPr="0035172B">
        <w:t xml:space="preserve">or emergency </w:t>
      </w:r>
      <w:r w:rsidR="00551FDB" w:rsidRPr="0035172B">
        <w:t xml:space="preserve">transfer, the individual or </w:t>
      </w:r>
      <w:r w:rsidR="0035172B" w:rsidRPr="0035172B">
        <w:t xml:space="preserve">the </w:t>
      </w:r>
      <w:r w:rsidR="00551FDB" w:rsidRPr="0035172B">
        <w:t xml:space="preserve">representative shall </w:t>
      </w:r>
      <w:r w:rsidRPr="0035172B">
        <w:t>complete an Objection to Transfer form and submit the completed form</w:t>
      </w:r>
      <w:r w:rsidR="00546443" w:rsidRPr="0035172B">
        <w:t xml:space="preserve"> to the individual’s case manager</w:t>
      </w:r>
      <w:r w:rsidRPr="0035172B">
        <w:t xml:space="preserve"> </w:t>
      </w:r>
      <w:r w:rsidR="00AA10BB" w:rsidRPr="0035172B">
        <w:t xml:space="preserve">not later than </w:t>
      </w:r>
      <w:r w:rsidR="00546443" w:rsidRPr="0035172B">
        <w:t xml:space="preserve">10 </w:t>
      </w:r>
      <w:r w:rsidR="00AA10BB" w:rsidRPr="0035172B">
        <w:t>days after</w:t>
      </w:r>
      <w:r w:rsidR="001E5AEB" w:rsidRPr="0035172B">
        <w:t xml:space="preserve"> the date </w:t>
      </w:r>
      <w:r w:rsidR="00E93229" w:rsidRPr="0035172B">
        <w:t>of receip</w:t>
      </w:r>
      <w:r w:rsidR="00EF7A57" w:rsidRPr="0035172B">
        <w:t xml:space="preserve">t of the certified letter containing either </w:t>
      </w:r>
      <w:r w:rsidR="001E5AEB" w:rsidRPr="0035172B">
        <w:t xml:space="preserve">the Notice of Intent to Transfer </w:t>
      </w:r>
      <w:r w:rsidR="00AD77A6" w:rsidRPr="0035172B">
        <w:t xml:space="preserve">or the Notice of </w:t>
      </w:r>
      <w:r w:rsidR="0022191A" w:rsidRPr="0035172B">
        <w:t xml:space="preserve">Emergency </w:t>
      </w:r>
      <w:r w:rsidR="00AD77A6" w:rsidRPr="0035172B">
        <w:t>Transfer.</w:t>
      </w:r>
    </w:p>
    <w:bookmarkEnd w:id="9"/>
    <w:p w14:paraId="4E5F930C" w14:textId="77777777" w:rsidR="00DB21FD" w:rsidRPr="00344D62" w:rsidRDefault="00DB21FD" w:rsidP="00DB21FD">
      <w:pPr>
        <w:pStyle w:val="ListParagraph"/>
        <w:ind w:left="1080"/>
        <w:rPr>
          <w:sz w:val="16"/>
          <w:szCs w:val="16"/>
        </w:rPr>
      </w:pPr>
    </w:p>
    <w:p w14:paraId="6AB54B98" w14:textId="5137008D" w:rsidR="00551FDB" w:rsidRPr="00FD24BF" w:rsidRDefault="00551FDB" w:rsidP="008D2BE6">
      <w:pPr>
        <w:pStyle w:val="ListParagraph"/>
        <w:numPr>
          <w:ilvl w:val="0"/>
          <w:numId w:val="11"/>
        </w:numPr>
        <w:spacing w:after="120"/>
        <w:ind w:left="1440"/>
        <w:rPr>
          <w:iCs/>
        </w:rPr>
      </w:pPr>
      <w:r w:rsidRPr="00FD24BF">
        <w:t xml:space="preserve">The </w:t>
      </w:r>
      <w:r w:rsidR="00D85418">
        <w:t xml:space="preserve">individual’s </w:t>
      </w:r>
      <w:r w:rsidRPr="00FD24BF">
        <w:t xml:space="preserve">case manager shall inform </w:t>
      </w:r>
      <w:r w:rsidR="00D85418">
        <w:t xml:space="preserve">the case management </w:t>
      </w:r>
      <w:r w:rsidRPr="00FD24BF">
        <w:t>supervisor</w:t>
      </w:r>
      <w:r w:rsidR="00683FFE" w:rsidRPr="00FD24BF">
        <w:t>, the</w:t>
      </w:r>
      <w:r w:rsidRPr="00FD24BF">
        <w:t xml:space="preserve"> Regional </w:t>
      </w:r>
      <w:r w:rsidR="00D85418">
        <w:t xml:space="preserve">or Training School </w:t>
      </w:r>
      <w:r w:rsidRPr="00FD24BF">
        <w:t>Director</w:t>
      </w:r>
      <w:r w:rsidR="00D85418">
        <w:t>,</w:t>
      </w:r>
      <w:r w:rsidRPr="00FD24BF">
        <w:t xml:space="preserve"> or </w:t>
      </w:r>
      <w:r w:rsidR="00D85418">
        <w:t xml:space="preserve">the </w:t>
      </w:r>
      <w:r w:rsidR="00BD25D0">
        <w:t>d</w:t>
      </w:r>
      <w:r w:rsidR="00D85418">
        <w:t xml:space="preserve">irector’s </w:t>
      </w:r>
      <w:r w:rsidRPr="00FD24BF">
        <w:t>designee</w:t>
      </w:r>
      <w:r w:rsidR="00D85418">
        <w:t>,</w:t>
      </w:r>
      <w:r w:rsidRPr="00FD24BF">
        <w:t xml:space="preserve"> and the </w:t>
      </w:r>
      <w:r w:rsidR="00D85418">
        <w:t xml:space="preserve">regional </w:t>
      </w:r>
      <w:r w:rsidRPr="00FD24BF">
        <w:t xml:space="preserve">PRAT </w:t>
      </w:r>
      <w:r w:rsidR="00BD30F7">
        <w:t xml:space="preserve">manager </w:t>
      </w:r>
      <w:r w:rsidRPr="00FD24BF">
        <w:t xml:space="preserve">of the objection to the proposed </w:t>
      </w:r>
      <w:r w:rsidR="00234959">
        <w:t xml:space="preserve">or emergency </w:t>
      </w:r>
      <w:r w:rsidRPr="00FD24BF">
        <w:t>transfer.</w:t>
      </w:r>
    </w:p>
    <w:p w14:paraId="450C68E8" w14:textId="77777777" w:rsidR="00DB21FD" w:rsidRPr="00DB21FD" w:rsidRDefault="00DB21FD" w:rsidP="00DB21FD">
      <w:pPr>
        <w:pStyle w:val="ListParagraph"/>
        <w:spacing w:after="120"/>
        <w:ind w:left="1440"/>
        <w:rPr>
          <w:sz w:val="8"/>
          <w:szCs w:val="8"/>
        </w:rPr>
      </w:pPr>
    </w:p>
    <w:p w14:paraId="4821F9C2" w14:textId="2093A87A" w:rsidR="00551FDB" w:rsidRPr="00FD24BF" w:rsidRDefault="00030C1E" w:rsidP="007016C4">
      <w:pPr>
        <w:pStyle w:val="ListParagraph"/>
        <w:numPr>
          <w:ilvl w:val="0"/>
          <w:numId w:val="11"/>
        </w:numPr>
        <w:ind w:left="1440"/>
      </w:pPr>
      <w:r>
        <w:t>T</w:t>
      </w:r>
      <w:r w:rsidRPr="00FD24BF">
        <w:t xml:space="preserve">he Regional </w:t>
      </w:r>
      <w:r>
        <w:t xml:space="preserve">or Training School </w:t>
      </w:r>
      <w:r w:rsidRPr="00FD24BF">
        <w:t>Director</w:t>
      </w:r>
      <w:r>
        <w:t>,</w:t>
      </w:r>
      <w:r w:rsidRPr="00FD24BF">
        <w:t xml:space="preserve"> or </w:t>
      </w:r>
      <w:r>
        <w:t xml:space="preserve">the director’s </w:t>
      </w:r>
      <w:r w:rsidRPr="00FD24BF">
        <w:t>designee</w:t>
      </w:r>
      <w:r>
        <w:t>,</w:t>
      </w:r>
      <w:r w:rsidR="00A76D9B">
        <w:t xml:space="preserve"> shall send a</w:t>
      </w:r>
      <w:r w:rsidR="00551FDB" w:rsidRPr="00FD24BF">
        <w:t xml:space="preserve"> copy of the objection</w:t>
      </w:r>
      <w:r w:rsidR="00D85418">
        <w:t xml:space="preserve"> to transfer</w:t>
      </w:r>
      <w:r w:rsidR="00551FDB" w:rsidRPr="00FD24BF">
        <w:t xml:space="preserve"> </w:t>
      </w:r>
      <w:r w:rsidR="00167342" w:rsidRPr="00FD24BF">
        <w:t>to</w:t>
      </w:r>
      <w:r w:rsidR="00551FDB" w:rsidRPr="00FD24BF">
        <w:t xml:space="preserve"> the DDS Legal </w:t>
      </w:r>
      <w:r w:rsidR="002D0057" w:rsidRPr="00FD24BF">
        <w:t>and</w:t>
      </w:r>
      <w:r w:rsidR="00551FDB" w:rsidRPr="00FD24BF">
        <w:t xml:space="preserve"> Government Affairs</w:t>
      </w:r>
      <w:r w:rsidR="00D85418">
        <w:t xml:space="preserve"> Division</w:t>
      </w:r>
      <w:r w:rsidR="00551FDB" w:rsidRPr="00FD24BF">
        <w:t>.</w:t>
      </w:r>
    </w:p>
    <w:p w14:paraId="03C20FF2" w14:textId="77777777" w:rsidR="007016C4" w:rsidRPr="007016C4" w:rsidRDefault="007016C4" w:rsidP="007016C4">
      <w:pPr>
        <w:pStyle w:val="ListParagraph"/>
        <w:ind w:left="1080"/>
        <w:rPr>
          <w:sz w:val="16"/>
          <w:szCs w:val="16"/>
        </w:rPr>
      </w:pPr>
      <w:bookmarkStart w:id="10" w:name="_Hlk86666341"/>
    </w:p>
    <w:p w14:paraId="5A7764C3" w14:textId="7894115F" w:rsidR="00551FDB" w:rsidRPr="00394C4E" w:rsidRDefault="00F70C65" w:rsidP="007016C4">
      <w:pPr>
        <w:pStyle w:val="ListParagraph"/>
        <w:numPr>
          <w:ilvl w:val="2"/>
          <w:numId w:val="10"/>
        </w:numPr>
        <w:ind w:left="1080" w:hanging="360"/>
      </w:pPr>
      <w:r w:rsidRPr="00394C4E">
        <w:t>If</w:t>
      </w:r>
      <w:r w:rsidR="00551FDB" w:rsidRPr="00394C4E">
        <w:t xml:space="preserve"> the </w:t>
      </w:r>
      <w:r w:rsidR="00A84E70" w:rsidRPr="00394C4E">
        <w:t>individual</w:t>
      </w:r>
      <w:r w:rsidR="002452BA" w:rsidRPr="00394C4E">
        <w:t>,</w:t>
      </w:r>
      <w:r w:rsidR="00A84E70" w:rsidRPr="00394C4E">
        <w:t xml:space="preserve"> </w:t>
      </w:r>
      <w:r w:rsidR="00551FDB" w:rsidRPr="00394C4E">
        <w:t xml:space="preserve">or </w:t>
      </w:r>
      <w:r w:rsidR="002D0057" w:rsidRPr="00394C4E">
        <w:t>the individual’s</w:t>
      </w:r>
      <w:r w:rsidR="003F2068" w:rsidRPr="00394C4E">
        <w:t xml:space="preserve"> </w:t>
      </w:r>
      <w:r w:rsidR="00551FDB" w:rsidRPr="00394C4E">
        <w:t>legal representative</w:t>
      </w:r>
      <w:r w:rsidR="002452BA" w:rsidRPr="00394C4E">
        <w:t>,</w:t>
      </w:r>
      <w:r w:rsidR="00551FDB" w:rsidRPr="00394C4E">
        <w:t xml:space="preserve"> objects to the </w:t>
      </w:r>
      <w:r w:rsidR="00551FDB" w:rsidRPr="001C6128">
        <w:t>proposed transfer</w:t>
      </w:r>
      <w:r w:rsidR="00551FDB" w:rsidRPr="00394C4E">
        <w:t xml:space="preserve">, </w:t>
      </w:r>
      <w:r w:rsidR="00234D47" w:rsidRPr="00394C4E">
        <w:t>in cases other than an emergency</w:t>
      </w:r>
      <w:r w:rsidR="00AC471D" w:rsidRPr="00394C4E">
        <w:t xml:space="preserve"> transfer</w:t>
      </w:r>
      <w:r w:rsidR="00234D47" w:rsidRPr="00394C4E">
        <w:t xml:space="preserve">, </w:t>
      </w:r>
      <w:r w:rsidR="00551FDB" w:rsidRPr="00394C4E">
        <w:t xml:space="preserve">the transfer shall </w:t>
      </w:r>
      <w:r w:rsidR="00551FDB" w:rsidRPr="00394C4E">
        <w:rPr>
          <w:u w:val="single"/>
        </w:rPr>
        <w:t>not</w:t>
      </w:r>
      <w:r w:rsidR="00551FDB" w:rsidRPr="00394C4E">
        <w:rPr>
          <w:b/>
          <w:bCs/>
        </w:rPr>
        <w:t xml:space="preserve"> </w:t>
      </w:r>
      <w:r w:rsidR="00551FDB" w:rsidRPr="00394C4E">
        <w:t xml:space="preserve">take place pending the </w:t>
      </w:r>
      <w:r w:rsidRPr="00394C4E">
        <w:t xml:space="preserve">outcome of the hearing process and the decision of the </w:t>
      </w:r>
      <w:r w:rsidR="009E0495" w:rsidRPr="00394C4E">
        <w:t>C</w:t>
      </w:r>
      <w:r w:rsidRPr="00394C4E">
        <w:t>ommissioner</w:t>
      </w:r>
      <w:bookmarkEnd w:id="10"/>
      <w:r w:rsidR="00551FDB" w:rsidRPr="00394C4E">
        <w:t>.</w:t>
      </w:r>
    </w:p>
    <w:p w14:paraId="2463500F" w14:textId="77777777" w:rsidR="007016C4" w:rsidRPr="00394C4E" w:rsidRDefault="007016C4" w:rsidP="007016C4">
      <w:pPr>
        <w:pStyle w:val="ListParagraph"/>
        <w:ind w:left="1080"/>
        <w:rPr>
          <w:sz w:val="16"/>
          <w:szCs w:val="16"/>
        </w:rPr>
      </w:pPr>
    </w:p>
    <w:p w14:paraId="31616C26" w14:textId="36399122" w:rsidR="00234959" w:rsidRPr="001C6128" w:rsidRDefault="00234959" w:rsidP="008D2BE6">
      <w:pPr>
        <w:pStyle w:val="ListParagraph"/>
        <w:numPr>
          <w:ilvl w:val="2"/>
          <w:numId w:val="10"/>
        </w:numPr>
        <w:spacing w:after="120"/>
        <w:ind w:left="1080" w:hanging="360"/>
      </w:pPr>
      <w:r w:rsidRPr="001C6128">
        <w:t xml:space="preserve">If the individual, or the individual’s legal representative, objects to the emergency transfer, the individual shall remain at the residence to which he or she has been transferred </w:t>
      </w:r>
      <w:r w:rsidR="00845164" w:rsidRPr="001C6128">
        <w:t xml:space="preserve">until such </w:t>
      </w:r>
      <w:r w:rsidRPr="001C6128">
        <w:t>hearing process</w:t>
      </w:r>
      <w:r w:rsidR="00845164" w:rsidRPr="001C6128">
        <w:t xml:space="preserve"> is complete</w:t>
      </w:r>
      <w:r w:rsidRPr="001C6128">
        <w:t xml:space="preserve"> and </w:t>
      </w:r>
      <w:r w:rsidR="00845164" w:rsidRPr="001C6128">
        <w:t>a</w:t>
      </w:r>
      <w:r w:rsidRPr="001C6128">
        <w:t xml:space="preserve"> decision </w:t>
      </w:r>
      <w:r w:rsidR="00845164" w:rsidRPr="001C6128">
        <w:t>has been made by</w:t>
      </w:r>
      <w:r w:rsidRPr="001C6128">
        <w:t xml:space="preserve"> the </w:t>
      </w:r>
      <w:r w:rsidR="009E0495" w:rsidRPr="001C6128">
        <w:t>C</w:t>
      </w:r>
      <w:r w:rsidRPr="001C6128">
        <w:t>ommissioner</w:t>
      </w:r>
      <w:r w:rsidR="009E0495" w:rsidRPr="001C6128">
        <w:t>.</w:t>
      </w:r>
    </w:p>
    <w:p w14:paraId="017EC972" w14:textId="77777777" w:rsidR="008E4277" w:rsidRPr="00DB21FD" w:rsidRDefault="008E4277" w:rsidP="008D2BE6">
      <w:pPr>
        <w:pStyle w:val="ListParagraph"/>
        <w:spacing w:after="120"/>
        <w:ind w:left="1080"/>
        <w:rPr>
          <w:sz w:val="16"/>
          <w:szCs w:val="16"/>
        </w:rPr>
      </w:pPr>
    </w:p>
    <w:p w14:paraId="7802D382" w14:textId="77777777" w:rsidR="00551FDB" w:rsidRPr="00FD24BF" w:rsidRDefault="00551FDB" w:rsidP="0065680F">
      <w:pPr>
        <w:pStyle w:val="ListParagraph"/>
        <w:numPr>
          <w:ilvl w:val="0"/>
          <w:numId w:val="26"/>
        </w:numPr>
        <w:spacing w:after="120" w:line="220" w:lineRule="atLeast"/>
        <w:ind w:left="720"/>
        <w:rPr>
          <w:bCs/>
        </w:rPr>
      </w:pPr>
      <w:r w:rsidRPr="00FD24BF">
        <w:t>Transfer Hearing</w:t>
      </w:r>
    </w:p>
    <w:p w14:paraId="1F790BCE" w14:textId="41772D95" w:rsidR="00551FDB" w:rsidRPr="00FD2527" w:rsidRDefault="00551FDB" w:rsidP="00782A6D">
      <w:pPr>
        <w:pStyle w:val="BodyTextIndent2"/>
        <w:numPr>
          <w:ilvl w:val="1"/>
          <w:numId w:val="34"/>
        </w:numPr>
        <w:spacing w:after="0"/>
        <w:ind w:left="1080"/>
        <w:rPr>
          <w:bCs/>
        </w:rPr>
      </w:pPr>
      <w:r w:rsidRPr="008E4277">
        <w:t>The Commissioner</w:t>
      </w:r>
      <w:r w:rsidR="00107136">
        <w:t>,</w:t>
      </w:r>
      <w:r w:rsidR="002F3119">
        <w:t xml:space="preserve"> or the </w:t>
      </w:r>
      <w:r w:rsidR="00107136">
        <w:t>DDS Legal Director as the Commissioner’s designee</w:t>
      </w:r>
      <w:r w:rsidRPr="008E4277">
        <w:t xml:space="preserve">, shall appoint a </w:t>
      </w:r>
      <w:r w:rsidR="00657771">
        <w:t>h</w:t>
      </w:r>
      <w:r w:rsidRPr="008E4277">
        <w:t xml:space="preserve">earing </w:t>
      </w:r>
      <w:r w:rsidR="00657771">
        <w:t>o</w:t>
      </w:r>
      <w:r w:rsidRPr="008E4277">
        <w:t>fficer</w:t>
      </w:r>
      <w:r w:rsidR="00107136">
        <w:t xml:space="preserve"> for the hearing to </w:t>
      </w:r>
      <w:r w:rsidR="00E719DD">
        <w:t xml:space="preserve">consider </w:t>
      </w:r>
      <w:r w:rsidR="00107136">
        <w:t xml:space="preserve">the individual’s </w:t>
      </w:r>
      <w:r w:rsidR="00234959">
        <w:t>o</w:t>
      </w:r>
      <w:r w:rsidR="00107136">
        <w:t xml:space="preserve">bjection to </w:t>
      </w:r>
      <w:r w:rsidR="00234959">
        <w:t>a proposed</w:t>
      </w:r>
      <w:r w:rsidR="001C6128">
        <w:t xml:space="preserve"> transfer</w:t>
      </w:r>
      <w:r w:rsidR="00234959">
        <w:t xml:space="preserve"> or </w:t>
      </w:r>
      <w:r w:rsidR="001C6128">
        <w:t>an</w:t>
      </w:r>
      <w:r w:rsidR="00234959">
        <w:t xml:space="preserve"> emergency transfer</w:t>
      </w:r>
      <w:r w:rsidRPr="008E4277">
        <w:t>.</w:t>
      </w:r>
      <w:r w:rsidR="001C6128">
        <w:t xml:space="preserve"> </w:t>
      </w:r>
    </w:p>
    <w:p w14:paraId="4A7AED7C" w14:textId="77777777" w:rsidR="00FD2527" w:rsidRPr="00FD2527" w:rsidRDefault="00FD2527" w:rsidP="00FD2527">
      <w:pPr>
        <w:pStyle w:val="BodyTextIndent2"/>
        <w:spacing w:after="0"/>
        <w:ind w:left="1080"/>
        <w:rPr>
          <w:bCs/>
          <w:sz w:val="16"/>
          <w:szCs w:val="16"/>
        </w:rPr>
      </w:pPr>
    </w:p>
    <w:p w14:paraId="01C69A4F" w14:textId="141C79A2" w:rsidR="009E0495" w:rsidRPr="00FD2527" w:rsidRDefault="009E0495" w:rsidP="00782A6D">
      <w:pPr>
        <w:pStyle w:val="BodyTextIndent2"/>
        <w:numPr>
          <w:ilvl w:val="1"/>
          <w:numId w:val="34"/>
        </w:numPr>
        <w:spacing w:after="0"/>
        <w:ind w:left="1080"/>
        <w:rPr>
          <w:bCs/>
        </w:rPr>
      </w:pPr>
      <w:r>
        <w:t xml:space="preserve">The DDS Legal Director, or the </w:t>
      </w:r>
      <w:r w:rsidR="000D5801">
        <w:t>d</w:t>
      </w:r>
      <w:r>
        <w:t xml:space="preserve">irector’s designee shall promptly schedule the </w:t>
      </w:r>
      <w:r w:rsidR="00E719DD">
        <w:t xml:space="preserve">transfer </w:t>
      </w:r>
      <w:r>
        <w:t>hearing.</w:t>
      </w:r>
    </w:p>
    <w:p w14:paraId="2862BFE7" w14:textId="77777777" w:rsidR="00FD2527" w:rsidRPr="00FD2527" w:rsidRDefault="00FD2527" w:rsidP="00FD2527">
      <w:pPr>
        <w:pStyle w:val="BodyTextIndent2"/>
        <w:spacing w:after="0"/>
        <w:ind w:left="0"/>
        <w:rPr>
          <w:bCs/>
          <w:sz w:val="16"/>
          <w:szCs w:val="16"/>
        </w:rPr>
      </w:pPr>
    </w:p>
    <w:p w14:paraId="3B1A6C37" w14:textId="110155ED" w:rsidR="00551FDB" w:rsidRPr="00FD2527" w:rsidRDefault="00551FDB" w:rsidP="00782A6D">
      <w:pPr>
        <w:pStyle w:val="BodyTextIndent2"/>
        <w:numPr>
          <w:ilvl w:val="1"/>
          <w:numId w:val="34"/>
        </w:numPr>
        <w:spacing w:after="0"/>
        <w:ind w:left="1080"/>
        <w:rPr>
          <w:bCs/>
        </w:rPr>
      </w:pPr>
      <w:r w:rsidRPr="008E4277">
        <w:t xml:space="preserve">The </w:t>
      </w:r>
      <w:r w:rsidR="00657771">
        <w:t>h</w:t>
      </w:r>
      <w:r w:rsidRPr="008E4277">
        <w:t xml:space="preserve">earing </w:t>
      </w:r>
      <w:r w:rsidR="00657771">
        <w:t>o</w:t>
      </w:r>
      <w:r w:rsidRPr="008E4277">
        <w:t xml:space="preserve">fficer shall conduct the hearing, in accordance with the provisions of </w:t>
      </w:r>
      <w:bookmarkStart w:id="11" w:name="_Hlk86663449"/>
      <w:r w:rsidR="002452BA" w:rsidRPr="008E4277">
        <w:t xml:space="preserve">Chapter 54 of the Connecticut General Statutes </w:t>
      </w:r>
      <w:r w:rsidR="002452BA">
        <w:t>“</w:t>
      </w:r>
      <w:r w:rsidRPr="008E4277">
        <w:t>U</w:t>
      </w:r>
      <w:r w:rsidR="002D0057" w:rsidRPr="008E4277">
        <w:t xml:space="preserve">niform Administrative Procedure </w:t>
      </w:r>
      <w:r w:rsidRPr="008E4277">
        <w:t>A</w:t>
      </w:r>
      <w:r w:rsidR="002D0057" w:rsidRPr="008E4277">
        <w:t>ct (UAPA)</w:t>
      </w:r>
      <w:r w:rsidR="002452BA">
        <w:t>”</w:t>
      </w:r>
      <w:bookmarkEnd w:id="11"/>
      <w:r w:rsidRPr="008E4277">
        <w:t>.</w:t>
      </w:r>
    </w:p>
    <w:p w14:paraId="7B4A2143" w14:textId="77777777" w:rsidR="00FD2527" w:rsidRPr="00FD2527" w:rsidRDefault="00FD2527" w:rsidP="00FD2527">
      <w:pPr>
        <w:pStyle w:val="BodyTextIndent2"/>
        <w:spacing w:after="0"/>
        <w:ind w:left="0"/>
        <w:rPr>
          <w:bCs/>
          <w:sz w:val="16"/>
          <w:szCs w:val="16"/>
        </w:rPr>
      </w:pPr>
    </w:p>
    <w:p w14:paraId="7FB65791" w14:textId="0DF1FD0F" w:rsidR="00551FDB" w:rsidRDefault="00107136" w:rsidP="00782A6D">
      <w:pPr>
        <w:pStyle w:val="ListParagraph"/>
        <w:numPr>
          <w:ilvl w:val="1"/>
          <w:numId w:val="34"/>
        </w:numPr>
        <w:spacing w:line="220" w:lineRule="atLeast"/>
        <w:ind w:left="1080"/>
      </w:pPr>
      <w:r>
        <w:t>During</w:t>
      </w:r>
      <w:r w:rsidR="00551FDB" w:rsidRPr="008E4277">
        <w:t xml:space="preserve"> the hearing </w:t>
      </w:r>
      <w:r w:rsidR="00E719DD">
        <w:t>each</w:t>
      </w:r>
      <w:r w:rsidR="00E719DD" w:rsidRPr="008E4277">
        <w:t xml:space="preserve"> </w:t>
      </w:r>
      <w:r w:rsidR="00E719DD">
        <w:t>party</w:t>
      </w:r>
      <w:r w:rsidR="00E719DD" w:rsidRPr="008E4277">
        <w:t xml:space="preserve"> </w:t>
      </w:r>
      <w:r w:rsidR="00551FDB" w:rsidRPr="008E4277">
        <w:t xml:space="preserve">shall present evidence regarding the reasons for and against the </w:t>
      </w:r>
      <w:r>
        <w:t xml:space="preserve">proposed </w:t>
      </w:r>
      <w:r w:rsidR="00234959">
        <w:t xml:space="preserve">or emergency </w:t>
      </w:r>
      <w:r w:rsidR="00551FDB" w:rsidRPr="008E4277">
        <w:t xml:space="preserve">transfer. The proponent of the transfer shall have the burden of showing, by clear and convincing evidence, that the proposed </w:t>
      </w:r>
      <w:r w:rsidR="00234959">
        <w:t xml:space="preserve">or emergency </w:t>
      </w:r>
      <w:r w:rsidR="00551FDB" w:rsidRPr="008E4277">
        <w:t xml:space="preserve">transfer is in the best interest of the individual  and that the facility and programs to which </w:t>
      </w:r>
      <w:r w:rsidR="00657771">
        <w:t xml:space="preserve">the individual is proposed to be or has been transferred </w:t>
      </w:r>
      <w:r w:rsidR="00551FDB" w:rsidRPr="008E4277">
        <w:t xml:space="preserve"> </w:t>
      </w:r>
      <w:r>
        <w:t xml:space="preserve">(1) </w:t>
      </w:r>
      <w:r w:rsidR="00E031C0" w:rsidRPr="008E4277">
        <w:t>a</w:t>
      </w:r>
      <w:r w:rsidR="00683FFE" w:rsidRPr="008E4277">
        <w:t>re</w:t>
      </w:r>
      <w:r w:rsidR="00551FDB" w:rsidRPr="008E4277">
        <w:t xml:space="preserve"> safe and effectively supervised and monitored;</w:t>
      </w:r>
      <w:r w:rsidR="00E031C0" w:rsidRPr="008E4277">
        <w:t xml:space="preserve"> and</w:t>
      </w:r>
      <w:r w:rsidR="004976B4">
        <w:t xml:space="preserve"> (2) </w:t>
      </w:r>
      <w:r w:rsidR="00E031C0" w:rsidRPr="008E4277">
        <w:t>p</w:t>
      </w:r>
      <w:r w:rsidR="00683FFE" w:rsidRPr="008E4277">
        <w:t>rovide</w:t>
      </w:r>
      <w:r w:rsidR="00551FDB" w:rsidRPr="008E4277">
        <w:t xml:space="preserve"> a greater opportunity for personal development than the </w:t>
      </w:r>
      <w:r w:rsidR="005424C6" w:rsidRPr="008E4277">
        <w:t xml:space="preserve">individual’s </w:t>
      </w:r>
      <w:r w:rsidR="00551FDB" w:rsidRPr="008E4277">
        <w:t xml:space="preserve">present </w:t>
      </w:r>
      <w:r w:rsidR="004976B4">
        <w:t>residence</w:t>
      </w:r>
      <w:r w:rsidR="00551FDB" w:rsidRPr="008E4277">
        <w:t>.</w:t>
      </w:r>
    </w:p>
    <w:p w14:paraId="46D99AA6" w14:textId="77777777" w:rsidR="00FD2527" w:rsidRPr="00FD2527" w:rsidRDefault="00FD2527" w:rsidP="00FD2527">
      <w:pPr>
        <w:spacing w:line="220" w:lineRule="atLeast"/>
        <w:rPr>
          <w:sz w:val="16"/>
          <w:szCs w:val="16"/>
        </w:rPr>
      </w:pPr>
    </w:p>
    <w:p w14:paraId="152A7675" w14:textId="77777777" w:rsidR="00FD2527" w:rsidRDefault="00551FDB" w:rsidP="00782A6D">
      <w:pPr>
        <w:pStyle w:val="BodyTextIndent2"/>
        <w:numPr>
          <w:ilvl w:val="1"/>
          <w:numId w:val="34"/>
        </w:numPr>
        <w:spacing w:after="0" w:line="240" w:lineRule="auto"/>
        <w:ind w:left="1080"/>
      </w:pPr>
      <w:r w:rsidRPr="00231320">
        <w:t xml:space="preserve">The </w:t>
      </w:r>
      <w:r w:rsidR="00657771">
        <w:t>h</w:t>
      </w:r>
      <w:r w:rsidRPr="00231320">
        <w:t xml:space="preserve">earing </w:t>
      </w:r>
      <w:r w:rsidR="00657771">
        <w:t>o</w:t>
      </w:r>
      <w:r w:rsidRPr="00231320">
        <w:t xml:space="preserve">fficer shall render a </w:t>
      </w:r>
      <w:r w:rsidR="00E719DD">
        <w:t xml:space="preserve">proposed </w:t>
      </w:r>
      <w:r w:rsidRPr="00231320">
        <w:t xml:space="preserve">written decision </w:t>
      </w:r>
      <w:r w:rsidR="004976B4">
        <w:t>on the objection to transfer not more than</w:t>
      </w:r>
      <w:r w:rsidRPr="00231320">
        <w:t xml:space="preserve"> twenty (20) </w:t>
      </w:r>
      <w:r w:rsidR="004976B4">
        <w:t>business</w:t>
      </w:r>
      <w:r w:rsidRPr="00231320">
        <w:t xml:space="preserve"> days after the hearing</w:t>
      </w:r>
      <w:r w:rsidR="00A63A23" w:rsidRPr="00231320">
        <w:t xml:space="preserve"> and send </w:t>
      </w:r>
      <w:r w:rsidR="00BE0DF1" w:rsidRPr="00231320">
        <w:t xml:space="preserve">it </w:t>
      </w:r>
      <w:r w:rsidR="00A63A23" w:rsidRPr="00231320">
        <w:t>to the Commissioner.</w:t>
      </w:r>
    </w:p>
    <w:p w14:paraId="114A4180" w14:textId="2FA3D40C" w:rsidR="00551FDB" w:rsidRPr="001C6128" w:rsidRDefault="00551FDB" w:rsidP="00FD2527">
      <w:pPr>
        <w:pStyle w:val="BodyTextIndent2"/>
        <w:spacing w:after="0" w:line="240" w:lineRule="auto"/>
        <w:ind w:left="0"/>
        <w:rPr>
          <w:sz w:val="16"/>
          <w:szCs w:val="16"/>
        </w:rPr>
      </w:pPr>
    </w:p>
    <w:p w14:paraId="01DF07BA" w14:textId="77777777" w:rsidR="00FD2527" w:rsidRDefault="004037D3" w:rsidP="00782A6D">
      <w:pPr>
        <w:pStyle w:val="BodyTextIndent2"/>
        <w:numPr>
          <w:ilvl w:val="1"/>
          <w:numId w:val="34"/>
        </w:numPr>
        <w:spacing w:after="0" w:line="240" w:lineRule="auto"/>
        <w:ind w:left="1080"/>
      </w:pPr>
      <w:r>
        <w:t xml:space="preserve">The Commissioner, or the Commissioner’s designee, shall review the </w:t>
      </w:r>
      <w:r w:rsidR="00E719DD">
        <w:t xml:space="preserve">proposed </w:t>
      </w:r>
      <w:r>
        <w:t xml:space="preserve">written decision of the </w:t>
      </w:r>
      <w:r w:rsidR="00657771">
        <w:t>h</w:t>
      </w:r>
      <w:r>
        <w:t xml:space="preserve">earing </w:t>
      </w:r>
      <w:r w:rsidR="00657771">
        <w:t>o</w:t>
      </w:r>
      <w:r>
        <w:t>fficer and shall render a final decision on the objection to transfer.</w:t>
      </w:r>
    </w:p>
    <w:p w14:paraId="68BF8DA9" w14:textId="578AC61C" w:rsidR="004037D3" w:rsidRPr="00231320" w:rsidRDefault="004037D3" w:rsidP="00FD2527">
      <w:pPr>
        <w:pStyle w:val="BodyTextIndent2"/>
        <w:spacing w:after="0" w:line="240" w:lineRule="auto"/>
        <w:ind w:left="0"/>
      </w:pPr>
      <w:r>
        <w:t xml:space="preserve"> </w:t>
      </w:r>
    </w:p>
    <w:p w14:paraId="17AA7526" w14:textId="7AB01AF8" w:rsidR="00290E45" w:rsidRDefault="00551FDB" w:rsidP="00782A6D">
      <w:pPr>
        <w:pStyle w:val="ListParagraph"/>
        <w:numPr>
          <w:ilvl w:val="1"/>
          <w:numId w:val="34"/>
        </w:numPr>
        <w:ind w:left="1080"/>
      </w:pPr>
      <w:r w:rsidRPr="00231320">
        <w:t>The decision of the Commissioner shall be final</w:t>
      </w:r>
      <w:r w:rsidR="00A63A23" w:rsidRPr="00231320">
        <w:t xml:space="preserve">. This decision </w:t>
      </w:r>
      <w:r w:rsidR="005A358A">
        <w:t>shall</w:t>
      </w:r>
      <w:r w:rsidR="00A63A23" w:rsidRPr="00231320">
        <w:t xml:space="preserve"> be shared in writing with the </w:t>
      </w:r>
      <w:r w:rsidR="00E031C0" w:rsidRPr="00231320">
        <w:t>individual</w:t>
      </w:r>
      <w:r w:rsidR="0086057A">
        <w:t xml:space="preserve">, </w:t>
      </w:r>
      <w:r w:rsidR="005A358A">
        <w:t xml:space="preserve">the individual’s </w:t>
      </w:r>
      <w:r w:rsidR="00A63A23" w:rsidRPr="00231320">
        <w:t>legal representative</w:t>
      </w:r>
      <w:r w:rsidR="0086057A">
        <w:t>,</w:t>
      </w:r>
      <w:r w:rsidR="00A63A23" w:rsidRPr="00231320">
        <w:t xml:space="preserve"> </w:t>
      </w:r>
      <w:r w:rsidR="005A358A">
        <w:t xml:space="preserve">the </w:t>
      </w:r>
      <w:r w:rsidR="004976B4">
        <w:t xml:space="preserve">individual’s </w:t>
      </w:r>
      <w:r w:rsidR="00A63A23" w:rsidRPr="00231320">
        <w:t>case manager</w:t>
      </w:r>
      <w:r w:rsidR="0086057A">
        <w:t>,</w:t>
      </w:r>
      <w:r w:rsidR="00A63A23" w:rsidRPr="00231320">
        <w:t xml:space="preserve"> and </w:t>
      </w:r>
      <w:r w:rsidR="005A358A">
        <w:t xml:space="preserve">the </w:t>
      </w:r>
      <w:r w:rsidR="00A63A23" w:rsidRPr="00231320">
        <w:t>Regional</w:t>
      </w:r>
      <w:r w:rsidR="004976B4">
        <w:t xml:space="preserve"> or Training School</w:t>
      </w:r>
      <w:r w:rsidR="00A63A23" w:rsidRPr="00231320">
        <w:t xml:space="preserve"> </w:t>
      </w:r>
      <w:r w:rsidR="005424C6" w:rsidRPr="00231320">
        <w:t>D</w:t>
      </w:r>
      <w:r w:rsidR="00A63A23" w:rsidRPr="00231320">
        <w:t>irector.</w:t>
      </w:r>
    </w:p>
    <w:p w14:paraId="08F86E19" w14:textId="77777777" w:rsidR="00FD2527" w:rsidRPr="00FD2527" w:rsidRDefault="00FD2527" w:rsidP="00FD2527">
      <w:pPr>
        <w:rPr>
          <w:sz w:val="16"/>
          <w:szCs w:val="16"/>
        </w:rPr>
      </w:pPr>
    </w:p>
    <w:p w14:paraId="4F8BF40B" w14:textId="51078B70" w:rsidR="00EF18A0" w:rsidRDefault="00290E45" w:rsidP="00FD2527">
      <w:pPr>
        <w:pStyle w:val="ListParagraph"/>
        <w:numPr>
          <w:ilvl w:val="1"/>
          <w:numId w:val="34"/>
        </w:numPr>
        <w:ind w:left="1080"/>
      </w:pPr>
      <w:r w:rsidRPr="00231320">
        <w:t>If the individual</w:t>
      </w:r>
      <w:r w:rsidR="00183B2B" w:rsidRPr="00231320">
        <w:t xml:space="preserve"> or</w:t>
      </w:r>
      <w:r w:rsidR="003F2068" w:rsidRPr="00231320">
        <w:t xml:space="preserve"> </w:t>
      </w:r>
      <w:r w:rsidR="005A358A">
        <w:t>the individual’s</w:t>
      </w:r>
      <w:r w:rsidR="00183B2B" w:rsidRPr="00231320">
        <w:t xml:space="preserve"> </w:t>
      </w:r>
      <w:r w:rsidRPr="00231320">
        <w:t xml:space="preserve">legal representative is aggrieved by the decision of the Commissioner, </w:t>
      </w:r>
      <w:r w:rsidR="008A434D">
        <w:t>the decision</w:t>
      </w:r>
      <w:r w:rsidR="008A434D" w:rsidRPr="00231320">
        <w:t xml:space="preserve"> </w:t>
      </w:r>
      <w:r w:rsidR="005A358A">
        <w:t>may</w:t>
      </w:r>
      <w:r w:rsidRPr="00231320">
        <w:t xml:space="preserve"> be appealed to the Superior Court as outlined in </w:t>
      </w:r>
      <w:r w:rsidR="004037D3" w:rsidRPr="008E4277">
        <w:t>the Uniform Administrative Procedure Act (UAPA), Chapter 54 of the Connecticut General Statutes</w:t>
      </w:r>
      <w:r w:rsidRPr="00231320">
        <w:t>.</w:t>
      </w:r>
    </w:p>
    <w:p w14:paraId="7CC8E1CF" w14:textId="77777777" w:rsidR="00AC3AA4" w:rsidRPr="00AC3AA4" w:rsidRDefault="00AC3AA4" w:rsidP="00AC3AA4">
      <w:pPr>
        <w:pStyle w:val="ListParagraph"/>
        <w:rPr>
          <w:sz w:val="16"/>
          <w:szCs w:val="16"/>
        </w:rPr>
      </w:pPr>
    </w:p>
    <w:p w14:paraId="1F8CEF66" w14:textId="15931641" w:rsidR="00AC3AA4" w:rsidRPr="00AC3AA4" w:rsidRDefault="00AC3AA4" w:rsidP="00FD2527">
      <w:pPr>
        <w:pStyle w:val="ListParagraph"/>
        <w:numPr>
          <w:ilvl w:val="1"/>
          <w:numId w:val="34"/>
        </w:numPr>
        <w:ind w:left="1080"/>
      </w:pPr>
      <w:r w:rsidRPr="00AC3AA4">
        <w:t xml:space="preserve">The DDS Legal and Government Affairs Division shall retain all transfer hearing documentation in accordance with the </w:t>
      </w:r>
      <w:hyperlink r:id="rId8" w:tgtFrame="_blank" w:tooltip="Original URL: https://ctstatelibrary.org/agency-specific-records-retention-schedules/. Click or tap if you trust this link." w:history="1">
        <w:r w:rsidRPr="00AC3AA4">
          <w:rPr>
            <w:color w:val="0000FF"/>
            <w:u w:val="single"/>
            <w:bdr w:val="none" w:sz="0" w:space="0" w:color="auto" w:frame="1"/>
            <w:shd w:val="clear" w:color="auto" w:fill="FFFFFF"/>
          </w:rPr>
          <w:t xml:space="preserve">Agency Specific Records Retention Schedules </w:t>
        </w:r>
        <w:r>
          <w:rPr>
            <w:color w:val="0000FF"/>
            <w:u w:val="single"/>
            <w:bdr w:val="none" w:sz="0" w:space="0" w:color="auto" w:frame="1"/>
            <w:shd w:val="clear" w:color="auto" w:fill="FFFFFF"/>
          </w:rPr>
          <w:t xml:space="preserve">of the </w:t>
        </w:r>
        <w:r w:rsidRPr="00AC3AA4">
          <w:rPr>
            <w:color w:val="0000FF"/>
            <w:u w:val="single"/>
            <w:bdr w:val="none" w:sz="0" w:space="0" w:color="auto" w:frame="1"/>
            <w:shd w:val="clear" w:color="auto" w:fill="FFFFFF"/>
          </w:rPr>
          <w:t>Connecticut State Library</w:t>
        </w:r>
      </w:hyperlink>
      <w:r>
        <w:t>.</w:t>
      </w:r>
    </w:p>
    <w:p w14:paraId="33C2A110" w14:textId="77777777" w:rsidR="00FD2527" w:rsidRPr="00FD2527" w:rsidRDefault="00FD2527" w:rsidP="00FD2527">
      <w:pPr>
        <w:rPr>
          <w:sz w:val="16"/>
          <w:szCs w:val="16"/>
        </w:rPr>
      </w:pPr>
    </w:p>
    <w:p w14:paraId="63996E39" w14:textId="5AD12112" w:rsidR="008E4277" w:rsidRDefault="00551FDB" w:rsidP="00782A6D">
      <w:pPr>
        <w:pStyle w:val="ListParagraph"/>
        <w:numPr>
          <w:ilvl w:val="1"/>
          <w:numId w:val="34"/>
        </w:numPr>
        <w:ind w:left="1080"/>
      </w:pPr>
      <w:r w:rsidRPr="00231320">
        <w:t>No hearing shall be required</w:t>
      </w:r>
      <w:r w:rsidR="00167342" w:rsidRPr="00231320">
        <w:t xml:space="preserve"> i</w:t>
      </w:r>
      <w:r w:rsidRPr="00231320">
        <w:t>f the Commissioner withdraws the proposed transfer.</w:t>
      </w:r>
    </w:p>
    <w:p w14:paraId="10267320" w14:textId="77777777" w:rsidR="001A72EB" w:rsidRPr="001A72EB" w:rsidRDefault="001A72EB" w:rsidP="001A72EB">
      <w:pPr>
        <w:pStyle w:val="ListParagraph"/>
        <w:ind w:left="360"/>
      </w:pPr>
    </w:p>
    <w:p w14:paraId="2E1B5F94" w14:textId="77777777" w:rsidR="001A72EB" w:rsidRPr="001A72EB" w:rsidRDefault="001A72EB" w:rsidP="00C218CC">
      <w:pPr>
        <w:pStyle w:val="ListParagraph"/>
        <w:numPr>
          <w:ilvl w:val="0"/>
          <w:numId w:val="16"/>
        </w:numPr>
        <w:ind w:left="360"/>
        <w:rPr>
          <w:b/>
        </w:rPr>
      </w:pPr>
      <w:r w:rsidRPr="001A72EB">
        <w:rPr>
          <w:b/>
        </w:rPr>
        <w:t>References</w:t>
      </w:r>
    </w:p>
    <w:p w14:paraId="481B7ACF" w14:textId="77777777" w:rsidR="007B3B55" w:rsidRPr="007B3B55" w:rsidRDefault="007B3B55" w:rsidP="007B3B55">
      <w:pPr>
        <w:ind w:left="360"/>
        <w:rPr>
          <w:sz w:val="2"/>
          <w:szCs w:val="2"/>
        </w:rPr>
      </w:pPr>
    </w:p>
    <w:p w14:paraId="0BFDA64B" w14:textId="77777777" w:rsidR="007B3B55" w:rsidRPr="007B3B55" w:rsidRDefault="007B3B55" w:rsidP="001A72EB">
      <w:pPr>
        <w:ind w:left="360"/>
        <w:rPr>
          <w:sz w:val="8"/>
          <w:szCs w:val="8"/>
        </w:rPr>
      </w:pPr>
    </w:p>
    <w:p w14:paraId="6B2E7925" w14:textId="12BD8756" w:rsidR="005424C6" w:rsidRPr="00D54F7B" w:rsidRDefault="005424C6" w:rsidP="001A72EB">
      <w:pPr>
        <w:ind w:left="360"/>
        <w:rPr>
          <w:b/>
        </w:rPr>
      </w:pPr>
      <w:r w:rsidRPr="00D54F7B">
        <w:rPr>
          <w:b/>
        </w:rPr>
        <w:t>C</w:t>
      </w:r>
      <w:r w:rsidR="003A17DD" w:rsidRPr="00D54F7B">
        <w:rPr>
          <w:b/>
        </w:rPr>
        <w:t>onnecticut</w:t>
      </w:r>
      <w:r w:rsidRPr="00D54F7B">
        <w:rPr>
          <w:b/>
        </w:rPr>
        <w:t xml:space="preserve"> General Statutes</w:t>
      </w:r>
    </w:p>
    <w:p w14:paraId="70EA6C1C" w14:textId="77777777" w:rsidR="005424C6" w:rsidRDefault="005424C6" w:rsidP="001A72EB">
      <w:pPr>
        <w:ind w:left="360"/>
      </w:pPr>
      <w:r w:rsidRPr="00231320">
        <w:t>Section</w:t>
      </w:r>
      <w:r w:rsidR="003A17DD">
        <w:t>s</w:t>
      </w:r>
      <w:r w:rsidRPr="00231320">
        <w:t xml:space="preserve"> 17a-210 </w:t>
      </w:r>
      <w:r w:rsidRPr="00231320">
        <w:rPr>
          <w:u w:val="single"/>
        </w:rPr>
        <w:t>et seq</w:t>
      </w:r>
      <w:r w:rsidRPr="00231320">
        <w:t>.:  Department and Commissioner of Developmental Services</w:t>
      </w:r>
    </w:p>
    <w:p w14:paraId="69DD1919" w14:textId="77777777" w:rsidR="009F014A" w:rsidRPr="00FD2527" w:rsidRDefault="009F014A" w:rsidP="001A72EB">
      <w:pPr>
        <w:ind w:left="360"/>
        <w:rPr>
          <w:sz w:val="4"/>
          <w:szCs w:val="4"/>
        </w:rPr>
      </w:pPr>
    </w:p>
    <w:p w14:paraId="6218CF43" w14:textId="77777777" w:rsidR="005424C6" w:rsidRPr="00231320" w:rsidRDefault="005424C6" w:rsidP="001A72EB">
      <w:pPr>
        <w:ind w:left="360"/>
      </w:pPr>
      <w:r w:rsidRPr="00231320">
        <w:t>Chapter</w:t>
      </w:r>
      <w:r w:rsidR="003A17DD">
        <w:t>s</w:t>
      </w:r>
      <w:r w:rsidRPr="00231320">
        <w:t xml:space="preserve"> 54 </w:t>
      </w:r>
      <w:r w:rsidRPr="00231320">
        <w:rPr>
          <w:u w:val="single"/>
        </w:rPr>
        <w:t>et seq</w:t>
      </w:r>
      <w:r w:rsidRPr="00231320">
        <w:t>.: Uniform Administrative Procedure Act</w:t>
      </w:r>
    </w:p>
    <w:p w14:paraId="6CD42EDB" w14:textId="77777777" w:rsidR="005424C6" w:rsidRPr="00FD2527" w:rsidRDefault="005424C6" w:rsidP="001A72EB">
      <w:pPr>
        <w:ind w:left="360"/>
        <w:rPr>
          <w:sz w:val="8"/>
          <w:szCs w:val="8"/>
        </w:rPr>
      </w:pPr>
    </w:p>
    <w:p w14:paraId="23166885" w14:textId="77777777" w:rsidR="005424C6" w:rsidRPr="00F63A8C" w:rsidRDefault="005424C6" w:rsidP="001A72EB">
      <w:pPr>
        <w:ind w:left="360"/>
        <w:rPr>
          <w:b/>
        </w:rPr>
      </w:pPr>
      <w:r w:rsidRPr="00F63A8C">
        <w:rPr>
          <w:b/>
        </w:rPr>
        <w:t>R</w:t>
      </w:r>
      <w:r w:rsidR="00C434EF" w:rsidRPr="00F63A8C">
        <w:rPr>
          <w:b/>
        </w:rPr>
        <w:t>egulations</w:t>
      </w:r>
      <w:r w:rsidR="003A17DD" w:rsidRPr="00F63A8C">
        <w:rPr>
          <w:b/>
        </w:rPr>
        <w:t xml:space="preserve"> of Connecticut State Agencies</w:t>
      </w:r>
    </w:p>
    <w:p w14:paraId="2DB46B98" w14:textId="77777777" w:rsidR="00C434EF" w:rsidRDefault="00C434EF" w:rsidP="001A72EB">
      <w:pPr>
        <w:ind w:left="360"/>
      </w:pPr>
      <w:r w:rsidRPr="00231320">
        <w:t>Section 17a-230-13</w:t>
      </w:r>
      <w:r w:rsidR="00E30C01">
        <w:t xml:space="preserve"> Transfers</w:t>
      </w:r>
    </w:p>
    <w:p w14:paraId="53736326" w14:textId="77777777" w:rsidR="00C434EF" w:rsidRPr="00FD2527" w:rsidRDefault="00C434EF" w:rsidP="001A72EB">
      <w:pPr>
        <w:ind w:left="360"/>
        <w:rPr>
          <w:sz w:val="8"/>
          <w:szCs w:val="8"/>
        </w:rPr>
      </w:pPr>
    </w:p>
    <w:p w14:paraId="2AE36F1D" w14:textId="77777777" w:rsidR="00551FDB" w:rsidRPr="00231320" w:rsidRDefault="00551FDB" w:rsidP="008E4277"/>
    <w:p w14:paraId="722A6647" w14:textId="77777777" w:rsidR="00551FDB" w:rsidRPr="001A72EB" w:rsidRDefault="005424C6" w:rsidP="00C218CC">
      <w:pPr>
        <w:pStyle w:val="ListParagraph"/>
        <w:numPr>
          <w:ilvl w:val="0"/>
          <w:numId w:val="16"/>
        </w:numPr>
        <w:ind w:left="360"/>
        <w:rPr>
          <w:b/>
        </w:rPr>
      </w:pPr>
      <w:r w:rsidRPr="001A72EB">
        <w:rPr>
          <w:b/>
        </w:rPr>
        <w:t>Attachments</w:t>
      </w:r>
    </w:p>
    <w:p w14:paraId="5FA29B37" w14:textId="36A281B0" w:rsidR="00551FDB" w:rsidRPr="0051503C" w:rsidRDefault="000437F5" w:rsidP="001A72EB">
      <w:pPr>
        <w:ind w:left="360"/>
      </w:pPr>
      <w:bookmarkStart w:id="12" w:name="_Hlk90394030"/>
      <w:r w:rsidRPr="0051503C">
        <w:t>I.F.PR.01</w:t>
      </w:r>
      <w:bookmarkEnd w:id="12"/>
      <w:r w:rsidR="008B4B76" w:rsidRPr="0051503C">
        <w:t>3</w:t>
      </w:r>
      <w:r w:rsidRPr="0051503C">
        <w:t xml:space="preserve"> </w:t>
      </w:r>
      <w:r w:rsidR="00551FDB" w:rsidRPr="0051503C">
        <w:t xml:space="preserve">Attachment A </w:t>
      </w:r>
      <w:hyperlink r:id="rId9" w:tgtFrame="_blank" w:history="1">
        <w:r w:rsidR="0051503C" w:rsidRPr="0051503C">
          <w:rPr>
            <w:color w:val="0000FF"/>
            <w:u w:val="single"/>
            <w:bdr w:val="none" w:sz="0" w:space="0" w:color="auto" w:frame="1"/>
          </w:rPr>
          <w:t>Sample Notice of Intent to Transfer</w:t>
        </w:r>
      </w:hyperlink>
    </w:p>
    <w:p w14:paraId="466349AB" w14:textId="3988C2DD" w:rsidR="00AD77A6" w:rsidRPr="0051503C" w:rsidRDefault="00AD77A6" w:rsidP="001A72EB">
      <w:pPr>
        <w:ind w:left="360"/>
      </w:pPr>
      <w:r w:rsidRPr="0051503C">
        <w:t>I.F.PR.01</w:t>
      </w:r>
      <w:r w:rsidR="008B4B76" w:rsidRPr="0051503C">
        <w:t>3</w:t>
      </w:r>
      <w:r w:rsidRPr="0051503C">
        <w:t xml:space="preserve"> Attachment B </w:t>
      </w:r>
      <w:hyperlink r:id="rId10" w:history="1">
        <w:r w:rsidR="0051503C" w:rsidRPr="0051503C">
          <w:rPr>
            <w:rStyle w:val="Hyperlink"/>
            <w:bdr w:val="none" w:sz="0" w:space="0" w:color="auto" w:frame="1"/>
          </w:rPr>
          <w:t>Sample Notice of Emergency Transfer</w:t>
        </w:r>
      </w:hyperlink>
    </w:p>
    <w:p w14:paraId="7C297CB2" w14:textId="5482D360" w:rsidR="00551FDB" w:rsidRPr="0051503C" w:rsidRDefault="002B5C93" w:rsidP="001A72EB">
      <w:pPr>
        <w:ind w:left="360"/>
      </w:pPr>
      <w:r w:rsidRPr="0051503C">
        <w:t>I.F.PR.01</w:t>
      </w:r>
      <w:r w:rsidR="008B4B76" w:rsidRPr="0051503C">
        <w:t>3</w:t>
      </w:r>
      <w:r w:rsidR="000437F5" w:rsidRPr="0051503C">
        <w:t xml:space="preserve"> </w:t>
      </w:r>
      <w:r w:rsidR="00551FDB" w:rsidRPr="0051503C">
        <w:t xml:space="preserve">Attachment </w:t>
      </w:r>
      <w:r w:rsidR="00AD77A6" w:rsidRPr="0051503C">
        <w:t>C</w:t>
      </w:r>
      <w:r w:rsidR="00551FDB" w:rsidRPr="0051503C">
        <w:t xml:space="preserve"> </w:t>
      </w:r>
      <w:hyperlink r:id="rId11" w:history="1">
        <w:r w:rsidR="0051503C" w:rsidRPr="0051503C">
          <w:rPr>
            <w:rStyle w:val="Hyperlink"/>
            <w:bdr w:val="none" w:sz="0" w:space="0" w:color="auto" w:frame="1"/>
          </w:rPr>
          <w:t>Sample Objection to Transfer</w:t>
        </w:r>
      </w:hyperlink>
    </w:p>
    <w:p w14:paraId="6F1A7F1A" w14:textId="2DFBB86C" w:rsidR="0051503C" w:rsidRPr="0051503C" w:rsidRDefault="002B5C93" w:rsidP="0051503C">
      <w:pPr>
        <w:ind w:left="360"/>
      </w:pPr>
      <w:r w:rsidRPr="0051503C">
        <w:t>I.F.PR.01</w:t>
      </w:r>
      <w:r w:rsidR="008B4B76" w:rsidRPr="0051503C">
        <w:t>3</w:t>
      </w:r>
      <w:r w:rsidRPr="0051503C">
        <w:t xml:space="preserve"> </w:t>
      </w:r>
      <w:r w:rsidR="00551FDB" w:rsidRPr="0051503C">
        <w:t>Attachm</w:t>
      </w:r>
      <w:bookmarkStart w:id="13" w:name="_GoBack"/>
      <w:bookmarkEnd w:id="13"/>
      <w:r w:rsidR="00551FDB" w:rsidRPr="0051503C">
        <w:t xml:space="preserve">ent </w:t>
      </w:r>
      <w:r w:rsidR="00AD77A6" w:rsidRPr="0051503C">
        <w:t>D</w:t>
      </w:r>
      <w:r w:rsidR="00551FDB" w:rsidRPr="0051503C">
        <w:t xml:space="preserve"> </w:t>
      </w:r>
      <w:hyperlink r:id="rId12" w:history="1">
        <w:r w:rsidR="0051503C" w:rsidRPr="0051503C">
          <w:rPr>
            <w:rStyle w:val="Hyperlink"/>
            <w:bdr w:val="none" w:sz="0" w:space="0" w:color="auto" w:frame="1"/>
          </w:rPr>
          <w:t>Residential Transfers Fact Sheet</w:t>
        </w:r>
      </w:hyperlink>
    </w:p>
    <w:sectPr w:rsidR="0051503C" w:rsidRPr="0051503C" w:rsidSect="009E5490">
      <w:headerReference w:type="default" r:id="rId13"/>
      <w:footerReference w:type="default" r:id="rId14"/>
      <w:pgSz w:w="12240" w:h="15840"/>
      <w:pgMar w:top="1440" w:right="1152" w:bottom="1080"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F26EB8" w16cex:dateUtc="2023-04-25T19:22:00Z"/>
  <w16cex:commentExtensible w16cex:durableId="27F26E90" w16cex:dateUtc="2023-04-25T1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DB1C" w14:textId="77777777" w:rsidR="001B0AA4" w:rsidRDefault="001B0AA4">
      <w:r>
        <w:separator/>
      </w:r>
    </w:p>
  </w:endnote>
  <w:endnote w:type="continuationSeparator" w:id="0">
    <w:p w14:paraId="4007BC1D" w14:textId="77777777" w:rsidR="001B0AA4" w:rsidRDefault="001B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EFDD" w14:textId="360FA1D9" w:rsidR="000265D7" w:rsidRDefault="000265D7" w:rsidP="00FF24DB">
    <w:pPr>
      <w:pStyle w:val="Footer"/>
      <w:tabs>
        <w:tab w:val="clear" w:pos="8640"/>
        <w:tab w:val="right" w:pos="9180"/>
      </w:tabs>
      <w:rPr>
        <w:rStyle w:val="PageNumber"/>
        <w:sz w:val="18"/>
      </w:rPr>
    </w:pPr>
    <w:r>
      <w:rPr>
        <w:sz w:val="18"/>
      </w:rPr>
      <w:t>I.F.PR.0</w:t>
    </w:r>
    <w:r w:rsidR="004D7001">
      <w:rPr>
        <w:sz w:val="18"/>
      </w:rPr>
      <w:t>1</w:t>
    </w:r>
    <w:r w:rsidR="005B4830">
      <w:rPr>
        <w:sz w:val="18"/>
      </w:rPr>
      <w:t>3</w:t>
    </w:r>
    <w:r>
      <w:rPr>
        <w:sz w:val="18"/>
      </w:rPr>
      <w:t xml:space="preserve"> </w:t>
    </w:r>
    <w:r w:rsidR="00FF24DB">
      <w:rPr>
        <w:sz w:val="18"/>
      </w:rPr>
      <w:t xml:space="preserve">Residential </w:t>
    </w:r>
    <w:r>
      <w:rPr>
        <w:sz w:val="18"/>
      </w:rPr>
      <w:t>Transfer</w:t>
    </w:r>
    <w:r w:rsidR="00FF24DB">
      <w:rPr>
        <w:sz w:val="18"/>
      </w:rPr>
      <w:t>s</w:t>
    </w:r>
    <w:r>
      <w:rPr>
        <w:sz w:val="18"/>
      </w:rPr>
      <w:tab/>
    </w:r>
    <w:r w:rsidR="00FF24DB">
      <w:rPr>
        <w:sz w:val="18"/>
      </w:rPr>
      <w:tab/>
    </w:r>
    <w:r w:rsidR="00FF24DB" w:rsidRPr="00FF24DB">
      <w:rPr>
        <w:sz w:val="18"/>
      </w:rPr>
      <w:t>Revised</w:t>
    </w:r>
    <w:r w:rsidR="0053219C" w:rsidRPr="00FF24DB">
      <w:rPr>
        <w:sz w:val="18"/>
      </w:rPr>
      <w:t xml:space="preserve"> </w:t>
    </w:r>
    <w:r w:rsidR="000D5B69" w:rsidRPr="00FF24DB">
      <w:rPr>
        <w:sz w:val="18"/>
      </w:rPr>
      <w:t>5-1</w:t>
    </w:r>
    <w:r w:rsidR="009741E8" w:rsidRPr="00FF24DB">
      <w:rPr>
        <w:sz w:val="18"/>
      </w:rPr>
      <w:t>6</w:t>
    </w:r>
    <w:r w:rsidR="0053219C" w:rsidRPr="00FF24DB">
      <w:rPr>
        <w:sz w:val="18"/>
      </w:rPr>
      <w:t>-2023</w:t>
    </w:r>
    <w:r w:rsidR="00FF24DB">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4B4912">
      <w:rPr>
        <w:rStyle w:val="PageNumber"/>
        <w:noProof/>
        <w:sz w:val="18"/>
      </w:rPr>
      <w:t>1</w:t>
    </w:r>
    <w:r>
      <w:rPr>
        <w:rStyle w:val="PageNumber"/>
        <w:sz w:val="18"/>
      </w:rPr>
      <w:fldChar w:fldCharType="end"/>
    </w:r>
  </w:p>
  <w:p w14:paraId="6DE79AF1" w14:textId="77777777" w:rsidR="000265D7" w:rsidRDefault="000265D7">
    <w:pPr>
      <w:pStyle w:val="Footer"/>
      <w:tabs>
        <w:tab w:val="clear" w:pos="8640"/>
        <w:tab w:val="right" w:pos="9360"/>
      </w:tabs>
      <w:jc w:val="center"/>
      <w:rPr>
        <w:b/>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C675" w14:textId="77777777" w:rsidR="001B0AA4" w:rsidRDefault="001B0AA4">
      <w:r>
        <w:separator/>
      </w:r>
    </w:p>
  </w:footnote>
  <w:footnote w:type="continuationSeparator" w:id="0">
    <w:p w14:paraId="4A9188D9" w14:textId="77777777" w:rsidR="001B0AA4" w:rsidRDefault="001B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3342" w14:textId="77777777" w:rsidR="000265D7" w:rsidRDefault="000265D7">
    <w:pPr>
      <w:pStyle w:val="Title"/>
      <w:rPr>
        <w:sz w:val="24"/>
      </w:rPr>
    </w:pPr>
    <w:r>
      <w:rPr>
        <w:sz w:val="24"/>
      </w:rPr>
      <w:t>STATE OF CONNECTICUT</w:t>
    </w:r>
  </w:p>
  <w:p w14:paraId="09BD5C32" w14:textId="77777777" w:rsidR="000265D7" w:rsidRDefault="000265D7">
    <w:pPr>
      <w:pStyle w:val="Header"/>
      <w:jc w:val="center"/>
      <w:rPr>
        <w:b/>
        <w:bCs/>
      </w:rPr>
    </w:pPr>
    <w:r>
      <w:rPr>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65EF"/>
    <w:multiLevelType w:val="hybridMultilevel"/>
    <w:tmpl w:val="9E58FC32"/>
    <w:lvl w:ilvl="0" w:tplc="C68C86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74C6C"/>
    <w:multiLevelType w:val="hybridMultilevel"/>
    <w:tmpl w:val="443E5CA0"/>
    <w:lvl w:ilvl="0" w:tplc="8D4ADDAE">
      <w:start w:val="4"/>
      <w:numFmt w:val="lowerLetter"/>
      <w:lvlText w:val="%1."/>
      <w:lvlJc w:val="left"/>
      <w:pPr>
        <w:ind w:left="36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D98"/>
    <w:multiLevelType w:val="hybridMultilevel"/>
    <w:tmpl w:val="F90E1C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A8479D"/>
    <w:multiLevelType w:val="hybridMultilevel"/>
    <w:tmpl w:val="85AC7812"/>
    <w:lvl w:ilvl="0" w:tplc="B26ED020">
      <w:start w:val="5"/>
      <w:numFmt w:val="upp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24A1"/>
    <w:multiLevelType w:val="hybridMultilevel"/>
    <w:tmpl w:val="DB20DF86"/>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67C416B"/>
    <w:multiLevelType w:val="hybridMultilevel"/>
    <w:tmpl w:val="2E9A29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E6D40"/>
    <w:multiLevelType w:val="multilevel"/>
    <w:tmpl w:val="6FB4C93E"/>
    <w:lvl w:ilvl="0">
      <w:start w:val="4"/>
      <w:numFmt w:val="upperLetter"/>
      <w:pStyle w:val="Subtitl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Roman"/>
      <w:lvlText w:val="%4"/>
      <w:lvlJc w:val="left"/>
      <w:pPr>
        <w:tabs>
          <w:tab w:val="num" w:pos="2880"/>
        </w:tabs>
        <w:ind w:left="2520" w:hanging="36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87F6F73"/>
    <w:multiLevelType w:val="hybridMultilevel"/>
    <w:tmpl w:val="9B2A3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624FA"/>
    <w:multiLevelType w:val="hybridMultilevel"/>
    <w:tmpl w:val="8102A2A4"/>
    <w:lvl w:ilvl="0" w:tplc="086EBE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1D4D"/>
    <w:multiLevelType w:val="hybridMultilevel"/>
    <w:tmpl w:val="B1BE4DFC"/>
    <w:lvl w:ilvl="0" w:tplc="756C4102">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83DF8"/>
    <w:multiLevelType w:val="hybridMultilevel"/>
    <w:tmpl w:val="DE9CA5CA"/>
    <w:lvl w:ilvl="0" w:tplc="1696F6A6">
      <w:start w:val="4"/>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D52A2"/>
    <w:multiLevelType w:val="hybridMultilevel"/>
    <w:tmpl w:val="A9C80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707D2"/>
    <w:multiLevelType w:val="hybridMultilevel"/>
    <w:tmpl w:val="7DF243D8"/>
    <w:lvl w:ilvl="0" w:tplc="90966408">
      <w:start w:val="1"/>
      <w:numFmt w:val="upperLetter"/>
      <w:lvlText w:val="%1."/>
      <w:lvlJc w:val="left"/>
      <w:pPr>
        <w:ind w:left="720" w:hanging="360"/>
      </w:pPr>
    </w:lvl>
    <w:lvl w:ilvl="1" w:tplc="30381A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314A6"/>
    <w:multiLevelType w:val="hybridMultilevel"/>
    <w:tmpl w:val="BD9A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D0DC2"/>
    <w:multiLevelType w:val="hybridMultilevel"/>
    <w:tmpl w:val="E6C6B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8D2917"/>
    <w:multiLevelType w:val="hybridMultilevel"/>
    <w:tmpl w:val="EC2E2AE4"/>
    <w:lvl w:ilvl="0" w:tplc="04090019">
      <w:start w:val="1"/>
      <w:numFmt w:val="lowerLetter"/>
      <w:lvlText w:val="%1."/>
      <w:lvlJc w:val="left"/>
      <w:pPr>
        <w:ind w:left="2160" w:hanging="360"/>
      </w:pPr>
    </w:lvl>
    <w:lvl w:ilvl="1" w:tplc="BA3AC050">
      <w:start w:val="1"/>
      <w:numFmt w:val="lowerRoman"/>
      <w:lvlText w:val="(%2)"/>
      <w:lvlJc w:val="left"/>
      <w:pPr>
        <w:ind w:left="3240" w:hanging="720"/>
      </w:pPr>
      <w:rPr>
        <w:rFonts w:hint="default"/>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A62AD8"/>
    <w:multiLevelType w:val="hybridMultilevel"/>
    <w:tmpl w:val="D236016E"/>
    <w:lvl w:ilvl="0" w:tplc="1F3A7F5C">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80081"/>
    <w:multiLevelType w:val="hybridMultilevel"/>
    <w:tmpl w:val="011A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94744"/>
    <w:multiLevelType w:val="hybridMultilevel"/>
    <w:tmpl w:val="8C82E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473D0"/>
    <w:multiLevelType w:val="hybridMultilevel"/>
    <w:tmpl w:val="B45230DA"/>
    <w:lvl w:ilvl="0" w:tplc="04C2D85A">
      <w:start w:val="4"/>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317F1"/>
    <w:multiLevelType w:val="hybridMultilevel"/>
    <w:tmpl w:val="78DAB1BC"/>
    <w:lvl w:ilvl="0" w:tplc="A808BA5A">
      <w:start w:val="4"/>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33905"/>
    <w:multiLevelType w:val="hybridMultilevel"/>
    <w:tmpl w:val="800A8A4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5E0517"/>
    <w:multiLevelType w:val="hybridMultilevel"/>
    <w:tmpl w:val="04DE37B4"/>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3" w15:restartNumberingAfterBreak="0">
    <w:nsid w:val="4E6669B0"/>
    <w:multiLevelType w:val="hybridMultilevel"/>
    <w:tmpl w:val="83724BB4"/>
    <w:lvl w:ilvl="0" w:tplc="AB904432">
      <w:start w:val="2"/>
      <w:numFmt w:val="lowerLetter"/>
      <w:lvlText w:val="%1."/>
      <w:lvlJc w:val="left"/>
      <w:pPr>
        <w:ind w:left="36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96B79"/>
    <w:multiLevelType w:val="hybridMultilevel"/>
    <w:tmpl w:val="89564E42"/>
    <w:lvl w:ilvl="0" w:tplc="DFE86C84">
      <w:start w:val="3"/>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73735"/>
    <w:multiLevelType w:val="hybridMultilevel"/>
    <w:tmpl w:val="58983866"/>
    <w:lvl w:ilvl="0" w:tplc="FD8A44F4">
      <w:start w:val="5"/>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27" w15:restartNumberingAfterBreak="0">
    <w:nsid w:val="5A7B69AC"/>
    <w:multiLevelType w:val="hybridMultilevel"/>
    <w:tmpl w:val="75EE9544"/>
    <w:lvl w:ilvl="0" w:tplc="DE6C81EC">
      <w:start w:val="5"/>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C6C5B"/>
    <w:multiLevelType w:val="hybridMultilevel"/>
    <w:tmpl w:val="4F502656"/>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0C82D88"/>
    <w:multiLevelType w:val="hybridMultilevel"/>
    <w:tmpl w:val="D1E84398"/>
    <w:lvl w:ilvl="0" w:tplc="9508B808">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257F"/>
    <w:multiLevelType w:val="hybridMultilevel"/>
    <w:tmpl w:val="876811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78A57FD"/>
    <w:multiLevelType w:val="hybridMultilevel"/>
    <w:tmpl w:val="AB58E2E8"/>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2" w15:restartNumberingAfterBreak="0">
    <w:nsid w:val="69BE6A98"/>
    <w:multiLevelType w:val="hybridMultilevel"/>
    <w:tmpl w:val="2EDE7AB0"/>
    <w:lvl w:ilvl="0" w:tplc="04090019">
      <w:start w:val="1"/>
      <w:numFmt w:val="lowerLetter"/>
      <w:lvlText w:val="%1."/>
      <w:lvlJc w:val="left"/>
      <w:pPr>
        <w:ind w:left="2160" w:hanging="360"/>
      </w:pPr>
    </w:lvl>
    <w:lvl w:ilvl="1" w:tplc="1E0AEE74">
      <w:start w:val="1"/>
      <w:numFmt w:val="lowerRoman"/>
      <w:lvlText w:val="(%2)"/>
      <w:lvlJc w:val="left"/>
      <w:pPr>
        <w:ind w:left="3240" w:hanging="720"/>
      </w:pPr>
      <w:rPr>
        <w:rFonts w:hint="default"/>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A3F2E75"/>
    <w:multiLevelType w:val="hybridMultilevel"/>
    <w:tmpl w:val="6A687328"/>
    <w:lvl w:ilvl="0" w:tplc="04090019">
      <w:start w:val="1"/>
      <w:numFmt w:val="lowerLetter"/>
      <w:lvlText w:val="%1."/>
      <w:lvlJc w:val="left"/>
      <w:pPr>
        <w:ind w:left="2160" w:hanging="360"/>
      </w:pPr>
    </w:lvl>
    <w:lvl w:ilvl="1" w:tplc="434E9B76">
      <w:start w:val="1"/>
      <w:numFmt w:val="lowerRoman"/>
      <w:lvlText w:val="(%2)"/>
      <w:lvlJc w:val="left"/>
      <w:pPr>
        <w:ind w:left="3240" w:hanging="720"/>
      </w:pPr>
      <w:rPr>
        <w:rFonts w:hint="default"/>
        <w:i w:val="0"/>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34293C"/>
    <w:multiLevelType w:val="hybridMultilevel"/>
    <w:tmpl w:val="A77008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2396B30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DE5F05"/>
    <w:multiLevelType w:val="hybridMultilevel"/>
    <w:tmpl w:val="FB9081B8"/>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77036EBB"/>
    <w:multiLevelType w:val="hybridMultilevel"/>
    <w:tmpl w:val="7610A8F2"/>
    <w:lvl w:ilvl="0" w:tplc="0409000F">
      <w:start w:val="1"/>
      <w:numFmt w:val="decimal"/>
      <w:lvlText w:val="%1."/>
      <w:lvlJc w:val="left"/>
      <w:pPr>
        <w:ind w:left="1440" w:hanging="360"/>
      </w:pPr>
    </w:lvl>
    <w:lvl w:ilvl="1" w:tplc="C68C8662">
      <w:start w:val="4"/>
      <w:numFmt w:val="decimal"/>
      <w:lvlText w:val="%2."/>
      <w:lvlJc w:val="left"/>
      <w:pPr>
        <w:ind w:left="2160" w:hanging="360"/>
      </w:pPr>
      <w:rPr>
        <w:rFonts w:hint="default"/>
      </w:rPr>
    </w:lvl>
    <w:lvl w:ilvl="2" w:tplc="2396B30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6"/>
  </w:num>
  <w:num w:numId="3">
    <w:abstractNumId w:val="12"/>
  </w:num>
  <w:num w:numId="4">
    <w:abstractNumId w:val="34"/>
  </w:num>
  <w:num w:numId="5">
    <w:abstractNumId w:val="2"/>
  </w:num>
  <w:num w:numId="6">
    <w:abstractNumId w:val="15"/>
  </w:num>
  <w:num w:numId="7">
    <w:abstractNumId w:val="4"/>
  </w:num>
  <w:num w:numId="8">
    <w:abstractNumId w:val="24"/>
  </w:num>
  <w:num w:numId="9">
    <w:abstractNumId w:val="29"/>
  </w:num>
  <w:num w:numId="10">
    <w:abstractNumId w:val="33"/>
  </w:num>
  <w:num w:numId="11">
    <w:abstractNumId w:val="13"/>
  </w:num>
  <w:num w:numId="12">
    <w:abstractNumId w:val="19"/>
  </w:num>
  <w:num w:numId="13">
    <w:abstractNumId w:val="32"/>
  </w:num>
  <w:num w:numId="14">
    <w:abstractNumId w:val="28"/>
  </w:num>
  <w:num w:numId="15">
    <w:abstractNumId w:val="1"/>
  </w:num>
  <w:num w:numId="16">
    <w:abstractNumId w:val="3"/>
  </w:num>
  <w:num w:numId="17">
    <w:abstractNumId w:val="2"/>
    <w:lvlOverride w:ilvl="0">
      <w:lvl w:ilvl="0" w:tplc="04090019">
        <w:start w:val="1"/>
        <w:numFmt w:val="lowerLetter"/>
        <w:lvlText w:val="%1."/>
        <w:lvlJc w:val="left"/>
        <w:pPr>
          <w:ind w:left="360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9">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30"/>
  </w:num>
  <w:num w:numId="19">
    <w:abstractNumId w:val="23"/>
  </w:num>
  <w:num w:numId="20">
    <w:abstractNumId w:val="36"/>
  </w:num>
  <w:num w:numId="21">
    <w:abstractNumId w:val="25"/>
  </w:num>
  <w:num w:numId="22">
    <w:abstractNumId w:val="8"/>
  </w:num>
  <w:num w:numId="23">
    <w:abstractNumId w:val="16"/>
  </w:num>
  <w:num w:numId="24">
    <w:abstractNumId w:val="10"/>
  </w:num>
  <w:num w:numId="25">
    <w:abstractNumId w:val="0"/>
  </w:num>
  <w:num w:numId="26">
    <w:abstractNumId w:val="27"/>
  </w:num>
  <w:num w:numId="27">
    <w:abstractNumId w:val="5"/>
  </w:num>
  <w:num w:numId="28">
    <w:abstractNumId w:val="18"/>
  </w:num>
  <w:num w:numId="29">
    <w:abstractNumId w:val="7"/>
  </w:num>
  <w:num w:numId="30">
    <w:abstractNumId w:val="11"/>
  </w:num>
  <w:num w:numId="31">
    <w:abstractNumId w:val="17"/>
  </w:num>
  <w:num w:numId="32">
    <w:abstractNumId w:val="22"/>
  </w:num>
  <w:num w:numId="33">
    <w:abstractNumId w:val="35"/>
  </w:num>
  <w:num w:numId="34">
    <w:abstractNumId w:val="31"/>
  </w:num>
  <w:num w:numId="35">
    <w:abstractNumId w:val="9"/>
  </w:num>
  <w:num w:numId="36">
    <w:abstractNumId w:val="21"/>
  </w:num>
  <w:num w:numId="37">
    <w:abstractNumId w:val="14"/>
  </w:num>
  <w:num w:numId="3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CE"/>
    <w:rsid w:val="00005264"/>
    <w:rsid w:val="00015D3B"/>
    <w:rsid w:val="000172C0"/>
    <w:rsid w:val="000265D7"/>
    <w:rsid w:val="0002762B"/>
    <w:rsid w:val="0003067C"/>
    <w:rsid w:val="00030C1E"/>
    <w:rsid w:val="000355F8"/>
    <w:rsid w:val="000434EC"/>
    <w:rsid w:val="000437F5"/>
    <w:rsid w:val="00051540"/>
    <w:rsid w:val="000677E9"/>
    <w:rsid w:val="00072A8D"/>
    <w:rsid w:val="00076A97"/>
    <w:rsid w:val="00086C5E"/>
    <w:rsid w:val="000B1304"/>
    <w:rsid w:val="000B7E9B"/>
    <w:rsid w:val="000C668D"/>
    <w:rsid w:val="000D03C2"/>
    <w:rsid w:val="000D5801"/>
    <w:rsid w:val="000D5B69"/>
    <w:rsid w:val="000D66CE"/>
    <w:rsid w:val="000E0377"/>
    <w:rsid w:val="000E2179"/>
    <w:rsid w:val="000E5118"/>
    <w:rsid w:val="000E567D"/>
    <w:rsid w:val="000E7B11"/>
    <w:rsid w:val="000F376B"/>
    <w:rsid w:val="000F549A"/>
    <w:rsid w:val="00107136"/>
    <w:rsid w:val="0011109B"/>
    <w:rsid w:val="00112A20"/>
    <w:rsid w:val="00141F4E"/>
    <w:rsid w:val="00143A94"/>
    <w:rsid w:val="0016073A"/>
    <w:rsid w:val="00167342"/>
    <w:rsid w:val="00167797"/>
    <w:rsid w:val="00176C9F"/>
    <w:rsid w:val="00183B2B"/>
    <w:rsid w:val="00192081"/>
    <w:rsid w:val="001A36BB"/>
    <w:rsid w:val="001A72EB"/>
    <w:rsid w:val="001B0AA4"/>
    <w:rsid w:val="001B3194"/>
    <w:rsid w:val="001B480F"/>
    <w:rsid w:val="001B56F0"/>
    <w:rsid w:val="001C4E4F"/>
    <w:rsid w:val="001C6128"/>
    <w:rsid w:val="001D6410"/>
    <w:rsid w:val="001E1D2F"/>
    <w:rsid w:val="001E2860"/>
    <w:rsid w:val="001E5AEB"/>
    <w:rsid w:val="001F4B80"/>
    <w:rsid w:val="00201A26"/>
    <w:rsid w:val="0022191A"/>
    <w:rsid w:val="00223382"/>
    <w:rsid w:val="002258C6"/>
    <w:rsid w:val="002262E5"/>
    <w:rsid w:val="00231320"/>
    <w:rsid w:val="00234959"/>
    <w:rsid w:val="00234D47"/>
    <w:rsid w:val="00235A2E"/>
    <w:rsid w:val="0024217D"/>
    <w:rsid w:val="002423D2"/>
    <w:rsid w:val="002452BA"/>
    <w:rsid w:val="0025766C"/>
    <w:rsid w:val="00260C00"/>
    <w:rsid w:val="00262D03"/>
    <w:rsid w:val="0027083E"/>
    <w:rsid w:val="00277261"/>
    <w:rsid w:val="00277917"/>
    <w:rsid w:val="00281840"/>
    <w:rsid w:val="0028340E"/>
    <w:rsid w:val="0028763D"/>
    <w:rsid w:val="00290E45"/>
    <w:rsid w:val="00294186"/>
    <w:rsid w:val="002A7BDC"/>
    <w:rsid w:val="002B1B6A"/>
    <w:rsid w:val="002B498D"/>
    <w:rsid w:val="002B4ECD"/>
    <w:rsid w:val="002B5C93"/>
    <w:rsid w:val="002C185C"/>
    <w:rsid w:val="002D0057"/>
    <w:rsid w:val="002F00BB"/>
    <w:rsid w:val="002F1BD3"/>
    <w:rsid w:val="002F1F37"/>
    <w:rsid w:val="002F3119"/>
    <w:rsid w:val="002F514C"/>
    <w:rsid w:val="002F54F4"/>
    <w:rsid w:val="002F6ED4"/>
    <w:rsid w:val="002F7CAF"/>
    <w:rsid w:val="00300E90"/>
    <w:rsid w:val="00304344"/>
    <w:rsid w:val="00304900"/>
    <w:rsid w:val="00334547"/>
    <w:rsid w:val="00344D62"/>
    <w:rsid w:val="0035172B"/>
    <w:rsid w:val="003605CF"/>
    <w:rsid w:val="00363111"/>
    <w:rsid w:val="003746BF"/>
    <w:rsid w:val="0037585B"/>
    <w:rsid w:val="0038782C"/>
    <w:rsid w:val="00394C4E"/>
    <w:rsid w:val="003A17DD"/>
    <w:rsid w:val="003B0C68"/>
    <w:rsid w:val="003C22F4"/>
    <w:rsid w:val="003D1192"/>
    <w:rsid w:val="003E02A3"/>
    <w:rsid w:val="003E3A27"/>
    <w:rsid w:val="003E3F7C"/>
    <w:rsid w:val="003F2068"/>
    <w:rsid w:val="004037D3"/>
    <w:rsid w:val="00404473"/>
    <w:rsid w:val="004240E2"/>
    <w:rsid w:val="0043722F"/>
    <w:rsid w:val="00453801"/>
    <w:rsid w:val="00455D13"/>
    <w:rsid w:val="00467DBA"/>
    <w:rsid w:val="0048302D"/>
    <w:rsid w:val="00485608"/>
    <w:rsid w:val="00492B32"/>
    <w:rsid w:val="004976B4"/>
    <w:rsid w:val="004A0B2C"/>
    <w:rsid w:val="004B4912"/>
    <w:rsid w:val="004C18D9"/>
    <w:rsid w:val="004C530B"/>
    <w:rsid w:val="004D4111"/>
    <w:rsid w:val="004D5685"/>
    <w:rsid w:val="004D7001"/>
    <w:rsid w:val="004E7541"/>
    <w:rsid w:val="0051503C"/>
    <w:rsid w:val="00532013"/>
    <w:rsid w:val="0053219C"/>
    <w:rsid w:val="00540451"/>
    <w:rsid w:val="00541350"/>
    <w:rsid w:val="005424C6"/>
    <w:rsid w:val="00546443"/>
    <w:rsid w:val="00551FDB"/>
    <w:rsid w:val="00562D74"/>
    <w:rsid w:val="00574BF0"/>
    <w:rsid w:val="005A358A"/>
    <w:rsid w:val="005B4217"/>
    <w:rsid w:val="005B4830"/>
    <w:rsid w:val="005C3877"/>
    <w:rsid w:val="00600725"/>
    <w:rsid w:val="00603028"/>
    <w:rsid w:val="00613C52"/>
    <w:rsid w:val="00617ADC"/>
    <w:rsid w:val="0062011D"/>
    <w:rsid w:val="006233CC"/>
    <w:rsid w:val="00625919"/>
    <w:rsid w:val="00630479"/>
    <w:rsid w:val="00632F9B"/>
    <w:rsid w:val="0063331E"/>
    <w:rsid w:val="00633A60"/>
    <w:rsid w:val="006358EF"/>
    <w:rsid w:val="0065680F"/>
    <w:rsid w:val="00657771"/>
    <w:rsid w:val="00683FFE"/>
    <w:rsid w:val="006A5D85"/>
    <w:rsid w:val="006C6EAF"/>
    <w:rsid w:val="006D2A71"/>
    <w:rsid w:val="006D3450"/>
    <w:rsid w:val="006E672A"/>
    <w:rsid w:val="00700EB8"/>
    <w:rsid w:val="007016C4"/>
    <w:rsid w:val="00702B99"/>
    <w:rsid w:val="0072348B"/>
    <w:rsid w:val="00735ECE"/>
    <w:rsid w:val="00741365"/>
    <w:rsid w:val="00780068"/>
    <w:rsid w:val="00780114"/>
    <w:rsid w:val="00782A6D"/>
    <w:rsid w:val="007850D2"/>
    <w:rsid w:val="00787704"/>
    <w:rsid w:val="007A18EC"/>
    <w:rsid w:val="007A3C89"/>
    <w:rsid w:val="007A68DD"/>
    <w:rsid w:val="007B3607"/>
    <w:rsid w:val="007B3AC0"/>
    <w:rsid w:val="007B3B55"/>
    <w:rsid w:val="007B4361"/>
    <w:rsid w:val="007B6D25"/>
    <w:rsid w:val="007B7BFB"/>
    <w:rsid w:val="007C0981"/>
    <w:rsid w:val="007C3809"/>
    <w:rsid w:val="007D58DC"/>
    <w:rsid w:val="007E0F7D"/>
    <w:rsid w:val="007E1FB6"/>
    <w:rsid w:val="007E3321"/>
    <w:rsid w:val="00827523"/>
    <w:rsid w:val="008353DB"/>
    <w:rsid w:val="00841D0F"/>
    <w:rsid w:val="00845164"/>
    <w:rsid w:val="0085440B"/>
    <w:rsid w:val="0085751D"/>
    <w:rsid w:val="0086057A"/>
    <w:rsid w:val="00862D46"/>
    <w:rsid w:val="00871BF9"/>
    <w:rsid w:val="00886842"/>
    <w:rsid w:val="0088778F"/>
    <w:rsid w:val="00891745"/>
    <w:rsid w:val="008A1A8B"/>
    <w:rsid w:val="008A434D"/>
    <w:rsid w:val="008A7745"/>
    <w:rsid w:val="008B4B76"/>
    <w:rsid w:val="008C15AA"/>
    <w:rsid w:val="008D2BE6"/>
    <w:rsid w:val="008E247E"/>
    <w:rsid w:val="008E4277"/>
    <w:rsid w:val="008E4871"/>
    <w:rsid w:val="008F5132"/>
    <w:rsid w:val="008F52D1"/>
    <w:rsid w:val="00901EED"/>
    <w:rsid w:val="009121D1"/>
    <w:rsid w:val="00940EAB"/>
    <w:rsid w:val="009607FC"/>
    <w:rsid w:val="009741E8"/>
    <w:rsid w:val="00975B8D"/>
    <w:rsid w:val="0099667E"/>
    <w:rsid w:val="009A23FB"/>
    <w:rsid w:val="009A3D6F"/>
    <w:rsid w:val="009B2E2A"/>
    <w:rsid w:val="009B6208"/>
    <w:rsid w:val="009C408D"/>
    <w:rsid w:val="009D2C56"/>
    <w:rsid w:val="009D5522"/>
    <w:rsid w:val="009E0495"/>
    <w:rsid w:val="009E5490"/>
    <w:rsid w:val="009F014A"/>
    <w:rsid w:val="009F4A5F"/>
    <w:rsid w:val="009F791F"/>
    <w:rsid w:val="00A057AE"/>
    <w:rsid w:val="00A22716"/>
    <w:rsid w:val="00A43600"/>
    <w:rsid w:val="00A44721"/>
    <w:rsid w:val="00A47B5A"/>
    <w:rsid w:val="00A63A23"/>
    <w:rsid w:val="00A646B8"/>
    <w:rsid w:val="00A65254"/>
    <w:rsid w:val="00A76D9B"/>
    <w:rsid w:val="00A83257"/>
    <w:rsid w:val="00A84E70"/>
    <w:rsid w:val="00A85B6B"/>
    <w:rsid w:val="00A92355"/>
    <w:rsid w:val="00AA10BB"/>
    <w:rsid w:val="00AB7AA7"/>
    <w:rsid w:val="00AC3AA4"/>
    <w:rsid w:val="00AC471D"/>
    <w:rsid w:val="00AD77A6"/>
    <w:rsid w:val="00AE0698"/>
    <w:rsid w:val="00AF0B27"/>
    <w:rsid w:val="00B13E63"/>
    <w:rsid w:val="00B20AA3"/>
    <w:rsid w:val="00B44535"/>
    <w:rsid w:val="00B46745"/>
    <w:rsid w:val="00B6212F"/>
    <w:rsid w:val="00BA5791"/>
    <w:rsid w:val="00BB3DDA"/>
    <w:rsid w:val="00BC0788"/>
    <w:rsid w:val="00BC68FD"/>
    <w:rsid w:val="00BD139F"/>
    <w:rsid w:val="00BD25D0"/>
    <w:rsid w:val="00BD30F7"/>
    <w:rsid w:val="00BD5953"/>
    <w:rsid w:val="00BE0DF1"/>
    <w:rsid w:val="00BF7DF2"/>
    <w:rsid w:val="00C1318E"/>
    <w:rsid w:val="00C20B58"/>
    <w:rsid w:val="00C218CC"/>
    <w:rsid w:val="00C243AE"/>
    <w:rsid w:val="00C24E97"/>
    <w:rsid w:val="00C25699"/>
    <w:rsid w:val="00C25DA8"/>
    <w:rsid w:val="00C2788C"/>
    <w:rsid w:val="00C434EF"/>
    <w:rsid w:val="00C436AA"/>
    <w:rsid w:val="00C6243B"/>
    <w:rsid w:val="00C64D23"/>
    <w:rsid w:val="00C71889"/>
    <w:rsid w:val="00C836A7"/>
    <w:rsid w:val="00CA016E"/>
    <w:rsid w:val="00CA553E"/>
    <w:rsid w:val="00CC252A"/>
    <w:rsid w:val="00CD21A4"/>
    <w:rsid w:val="00CE4777"/>
    <w:rsid w:val="00CF2D8D"/>
    <w:rsid w:val="00D064D1"/>
    <w:rsid w:val="00D06F3C"/>
    <w:rsid w:val="00D32D5E"/>
    <w:rsid w:val="00D3680E"/>
    <w:rsid w:val="00D44958"/>
    <w:rsid w:val="00D54F7B"/>
    <w:rsid w:val="00D745D6"/>
    <w:rsid w:val="00D85418"/>
    <w:rsid w:val="00DB21FD"/>
    <w:rsid w:val="00DC581D"/>
    <w:rsid w:val="00DC5934"/>
    <w:rsid w:val="00DD5BE0"/>
    <w:rsid w:val="00DD6ADC"/>
    <w:rsid w:val="00E031C0"/>
    <w:rsid w:val="00E06394"/>
    <w:rsid w:val="00E15676"/>
    <w:rsid w:val="00E30C01"/>
    <w:rsid w:val="00E515C8"/>
    <w:rsid w:val="00E54143"/>
    <w:rsid w:val="00E65AF1"/>
    <w:rsid w:val="00E719DD"/>
    <w:rsid w:val="00E90E7D"/>
    <w:rsid w:val="00E93229"/>
    <w:rsid w:val="00EA2D4E"/>
    <w:rsid w:val="00EA3CA9"/>
    <w:rsid w:val="00EB3697"/>
    <w:rsid w:val="00ED103C"/>
    <w:rsid w:val="00ED1B32"/>
    <w:rsid w:val="00ED2A35"/>
    <w:rsid w:val="00ED3D18"/>
    <w:rsid w:val="00EE0848"/>
    <w:rsid w:val="00EF18A0"/>
    <w:rsid w:val="00EF39A7"/>
    <w:rsid w:val="00EF7A57"/>
    <w:rsid w:val="00F0726B"/>
    <w:rsid w:val="00F120E2"/>
    <w:rsid w:val="00F15204"/>
    <w:rsid w:val="00F24EA3"/>
    <w:rsid w:val="00F26ABD"/>
    <w:rsid w:val="00F3381F"/>
    <w:rsid w:val="00F409DC"/>
    <w:rsid w:val="00F45716"/>
    <w:rsid w:val="00F47F90"/>
    <w:rsid w:val="00F501BF"/>
    <w:rsid w:val="00F51347"/>
    <w:rsid w:val="00F53493"/>
    <w:rsid w:val="00F63A8C"/>
    <w:rsid w:val="00F70C65"/>
    <w:rsid w:val="00F713D3"/>
    <w:rsid w:val="00F73DA0"/>
    <w:rsid w:val="00F83CBA"/>
    <w:rsid w:val="00F850D1"/>
    <w:rsid w:val="00F86C52"/>
    <w:rsid w:val="00F905A3"/>
    <w:rsid w:val="00F948C2"/>
    <w:rsid w:val="00FA5CBA"/>
    <w:rsid w:val="00FD24BF"/>
    <w:rsid w:val="00FD2527"/>
    <w:rsid w:val="00FE105A"/>
    <w:rsid w:val="00FF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947B99"/>
  <w15:docId w15:val="{54009DD5-5D9E-4CDE-A934-66AEB4F8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30C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E031C0"/>
    <w:pPr>
      <w:spacing w:before="240" w:after="60"/>
      <w:outlineLvl w:val="4"/>
    </w:pPr>
    <w:rPr>
      <w:rFonts w:ascii="Calibri" w:hAnsi="Calibri"/>
      <w:b/>
      <w:bCs/>
      <w:i/>
      <w:iCs/>
      <w:sz w:val="26"/>
      <w:szCs w:val="26"/>
    </w:rPr>
  </w:style>
  <w:style w:type="paragraph" w:styleId="Heading6">
    <w:name w:val="heading 6"/>
    <w:basedOn w:val="Normal"/>
    <w:next w:val="Normal"/>
    <w:qFormat/>
    <w:pPr>
      <w:keepNext/>
      <w:tabs>
        <w:tab w:val="left" w:pos="540"/>
      </w:tabs>
      <w:outlineLvl w:val="5"/>
    </w:pPr>
    <w:rPr>
      <w:b/>
      <w:bCs/>
      <w:szCs w:val="20"/>
    </w:rPr>
  </w:style>
  <w:style w:type="paragraph" w:styleId="Heading8">
    <w:name w:val="heading 8"/>
    <w:basedOn w:val="Normal"/>
    <w:next w:val="Normal"/>
    <w:link w:val="Heading8Char"/>
    <w:uiPriority w:val="9"/>
    <w:semiHidden/>
    <w:unhideWhenUsed/>
    <w:qFormat/>
    <w:rsid w:val="00E031C0"/>
    <w:pPr>
      <w:spacing w:before="240" w:after="60"/>
      <w:outlineLvl w:val="7"/>
    </w:pPr>
    <w:rPr>
      <w:rFonts w:ascii="Calibri" w:hAnsi="Calibri"/>
      <w:i/>
      <w:iCs/>
    </w:rPr>
  </w:style>
  <w:style w:type="paragraph" w:styleId="Heading9">
    <w:name w:val="heading 9"/>
    <w:basedOn w:val="Normal"/>
    <w:next w:val="Normal"/>
    <w:qFormat/>
    <w:pPr>
      <w:keepNext/>
      <w:numPr>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i/>
      <w:iCs/>
      <w:sz w:val="22"/>
      <w:szCs w:val="20"/>
    </w:rPr>
  </w:style>
  <w:style w:type="paragraph" w:styleId="BodyText">
    <w:name w:val="Body Text"/>
    <w:basedOn w:val="Normal"/>
    <w:semiHidden/>
    <w:pPr>
      <w:spacing w:after="120" w:line="220" w:lineRule="atLeast"/>
    </w:pPr>
    <w:rPr>
      <w:sz w:val="22"/>
    </w:rPr>
  </w:style>
  <w:style w:type="paragraph" w:styleId="Subtitle">
    <w:name w:val="Subtitle"/>
    <w:basedOn w:val="Normal"/>
    <w:qFormat/>
    <w:pPr>
      <w:numPr>
        <w:numId w:val="2"/>
      </w:numPr>
      <w:spacing w:after="120" w:line="220" w:lineRule="atLeast"/>
    </w:pPr>
    <w:rPr>
      <w:b/>
      <w:bCs/>
      <w:sz w:val="22"/>
    </w:rPr>
  </w:style>
  <w:style w:type="paragraph" w:styleId="BodyTextIndent">
    <w:name w:val="Body Text Indent"/>
    <w:basedOn w:val="Normal"/>
    <w:semiHidden/>
    <w:pPr>
      <w:spacing w:after="120" w:line="220" w:lineRule="atLeast"/>
      <w:ind w:left="2160"/>
    </w:pPr>
  </w:style>
  <w:style w:type="paragraph" w:styleId="BodyTextIndent2">
    <w:name w:val="Body Text Indent 2"/>
    <w:basedOn w:val="Normal"/>
    <w:semiHidden/>
    <w:pPr>
      <w:spacing w:after="120" w:line="220" w:lineRule="atLeast"/>
      <w:ind w:left="1440"/>
    </w:pPr>
  </w:style>
  <w:style w:type="paragraph" w:styleId="BodyTextIndent3">
    <w:name w:val="Body Text Indent 3"/>
    <w:basedOn w:val="Normal"/>
    <w:semiHidden/>
    <w:pPr>
      <w:spacing w:after="120" w:line="220" w:lineRule="atLeast"/>
      <w:ind w:left="1440"/>
    </w:pPr>
    <w:rPr>
      <w:color w:val="0000FF"/>
    </w:rPr>
  </w:style>
  <w:style w:type="paragraph" w:styleId="BalloonText">
    <w:name w:val="Balloon Text"/>
    <w:basedOn w:val="Normal"/>
    <w:link w:val="BalloonTextChar"/>
    <w:uiPriority w:val="99"/>
    <w:semiHidden/>
    <w:unhideWhenUsed/>
    <w:rsid w:val="009A23FB"/>
    <w:rPr>
      <w:rFonts w:ascii="Tahoma" w:hAnsi="Tahoma" w:cs="Tahoma"/>
      <w:sz w:val="16"/>
      <w:szCs w:val="16"/>
    </w:rPr>
  </w:style>
  <w:style w:type="character" w:customStyle="1" w:styleId="BalloonTextChar">
    <w:name w:val="Balloon Text Char"/>
    <w:basedOn w:val="DefaultParagraphFont"/>
    <w:link w:val="BalloonText"/>
    <w:uiPriority w:val="99"/>
    <w:semiHidden/>
    <w:rsid w:val="009A23FB"/>
    <w:rPr>
      <w:rFonts w:ascii="Tahoma" w:hAnsi="Tahoma" w:cs="Tahoma"/>
      <w:sz w:val="16"/>
      <w:szCs w:val="16"/>
    </w:rPr>
  </w:style>
  <w:style w:type="character" w:customStyle="1" w:styleId="Heading5Char">
    <w:name w:val="Heading 5 Char"/>
    <w:basedOn w:val="DefaultParagraphFont"/>
    <w:link w:val="Heading5"/>
    <w:uiPriority w:val="9"/>
    <w:semiHidden/>
    <w:rsid w:val="00E031C0"/>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E031C0"/>
    <w:rPr>
      <w:rFonts w:ascii="Calibri" w:eastAsia="Times New Roman" w:hAnsi="Calibri" w:cs="Times New Roman"/>
      <w:i/>
      <w:iCs/>
      <w:sz w:val="24"/>
      <w:szCs w:val="24"/>
    </w:rPr>
  </w:style>
  <w:style w:type="character" w:styleId="Hyperlink">
    <w:name w:val="Hyperlink"/>
    <w:basedOn w:val="DefaultParagraphFont"/>
    <w:uiPriority w:val="99"/>
    <w:unhideWhenUsed/>
    <w:rsid w:val="000437F5"/>
    <w:rPr>
      <w:color w:val="0000FF"/>
      <w:u w:val="single"/>
    </w:rPr>
  </w:style>
  <w:style w:type="character" w:styleId="CommentReference">
    <w:name w:val="annotation reference"/>
    <w:basedOn w:val="DefaultParagraphFont"/>
    <w:uiPriority w:val="99"/>
    <w:semiHidden/>
    <w:unhideWhenUsed/>
    <w:rsid w:val="00AB7AA7"/>
    <w:rPr>
      <w:sz w:val="16"/>
      <w:szCs w:val="16"/>
    </w:rPr>
  </w:style>
  <w:style w:type="paragraph" w:styleId="CommentText">
    <w:name w:val="annotation text"/>
    <w:basedOn w:val="Normal"/>
    <w:link w:val="CommentTextChar"/>
    <w:uiPriority w:val="99"/>
    <w:semiHidden/>
    <w:unhideWhenUsed/>
    <w:rsid w:val="00AB7AA7"/>
    <w:rPr>
      <w:rFonts w:ascii="Arial" w:hAnsi="Arial"/>
      <w:sz w:val="20"/>
      <w:szCs w:val="20"/>
    </w:rPr>
  </w:style>
  <w:style w:type="character" w:customStyle="1" w:styleId="CommentTextChar">
    <w:name w:val="Comment Text Char"/>
    <w:basedOn w:val="DefaultParagraphFont"/>
    <w:link w:val="CommentText"/>
    <w:uiPriority w:val="99"/>
    <w:semiHidden/>
    <w:rsid w:val="00AB7AA7"/>
    <w:rPr>
      <w:rFonts w:ascii="Arial" w:hAnsi="Arial"/>
    </w:rPr>
  </w:style>
  <w:style w:type="paragraph" w:styleId="ListParagraph">
    <w:name w:val="List Paragraph"/>
    <w:basedOn w:val="Normal"/>
    <w:uiPriority w:val="34"/>
    <w:qFormat/>
    <w:rsid w:val="00FD24BF"/>
    <w:pPr>
      <w:ind w:left="720"/>
      <w:contextualSpacing/>
    </w:pPr>
  </w:style>
  <w:style w:type="character" w:customStyle="1" w:styleId="Heading1Char">
    <w:name w:val="Heading 1 Char"/>
    <w:basedOn w:val="DefaultParagraphFont"/>
    <w:link w:val="Heading1"/>
    <w:uiPriority w:val="9"/>
    <w:rsid w:val="00E30C0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30C01"/>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D2A71"/>
    <w:rPr>
      <w:rFonts w:ascii="Times New Roman" w:hAnsi="Times New Roman"/>
      <w:b/>
      <w:bCs/>
    </w:rPr>
  </w:style>
  <w:style w:type="character" w:customStyle="1" w:styleId="CommentSubjectChar">
    <w:name w:val="Comment Subject Char"/>
    <w:basedOn w:val="CommentTextChar"/>
    <w:link w:val="CommentSubject"/>
    <w:uiPriority w:val="99"/>
    <w:semiHidden/>
    <w:rsid w:val="006D2A71"/>
    <w:rPr>
      <w:rFonts w:ascii="Arial" w:hAnsi="Arial"/>
      <w:b/>
      <w:bCs/>
    </w:rPr>
  </w:style>
  <w:style w:type="character" w:styleId="UnresolvedMention">
    <w:name w:val="Unresolved Mention"/>
    <w:basedOn w:val="DefaultParagraphFont"/>
    <w:uiPriority w:val="99"/>
    <w:semiHidden/>
    <w:unhideWhenUsed/>
    <w:rsid w:val="008D2BE6"/>
    <w:rPr>
      <w:color w:val="605E5C"/>
      <w:shd w:val="clear" w:color="auto" w:fill="E1DFDD"/>
    </w:rPr>
  </w:style>
  <w:style w:type="character" w:styleId="FollowedHyperlink">
    <w:name w:val="FollowedHyperlink"/>
    <w:basedOn w:val="DefaultParagraphFont"/>
    <w:uiPriority w:val="99"/>
    <w:semiHidden/>
    <w:unhideWhenUsed/>
    <w:rsid w:val="005150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739">
      <w:bodyDiv w:val="1"/>
      <w:marLeft w:val="0"/>
      <w:marRight w:val="0"/>
      <w:marTop w:val="0"/>
      <w:marBottom w:val="0"/>
      <w:divBdr>
        <w:top w:val="none" w:sz="0" w:space="0" w:color="auto"/>
        <w:left w:val="none" w:sz="0" w:space="0" w:color="auto"/>
        <w:bottom w:val="none" w:sz="0" w:space="0" w:color="auto"/>
        <w:right w:val="none" w:sz="0" w:space="0" w:color="auto"/>
      </w:divBdr>
      <w:divsChild>
        <w:div w:id="1476799996">
          <w:marLeft w:val="0"/>
          <w:marRight w:val="0"/>
          <w:marTop w:val="0"/>
          <w:marBottom w:val="0"/>
          <w:divBdr>
            <w:top w:val="none" w:sz="0" w:space="0" w:color="auto"/>
            <w:left w:val="none" w:sz="0" w:space="0" w:color="auto"/>
            <w:bottom w:val="none" w:sz="0" w:space="0" w:color="auto"/>
            <w:right w:val="none" w:sz="0" w:space="0" w:color="auto"/>
          </w:divBdr>
        </w:div>
      </w:divsChild>
    </w:div>
    <w:div w:id="679434731">
      <w:bodyDiv w:val="1"/>
      <w:marLeft w:val="0"/>
      <w:marRight w:val="0"/>
      <w:marTop w:val="0"/>
      <w:marBottom w:val="0"/>
      <w:divBdr>
        <w:top w:val="none" w:sz="0" w:space="0" w:color="auto"/>
        <w:left w:val="none" w:sz="0" w:space="0" w:color="auto"/>
        <w:bottom w:val="none" w:sz="0" w:space="0" w:color="auto"/>
        <w:right w:val="none" w:sz="0" w:space="0" w:color="auto"/>
      </w:divBdr>
    </w:div>
    <w:div w:id="13132966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81">
          <w:marLeft w:val="0"/>
          <w:marRight w:val="0"/>
          <w:marTop w:val="0"/>
          <w:marBottom w:val="0"/>
          <w:divBdr>
            <w:top w:val="none" w:sz="0" w:space="0" w:color="auto"/>
            <w:left w:val="none" w:sz="0" w:space="0" w:color="auto"/>
            <w:bottom w:val="none" w:sz="0" w:space="0" w:color="auto"/>
            <w:right w:val="none" w:sz="0" w:space="0" w:color="auto"/>
          </w:divBdr>
          <w:divsChild>
            <w:div w:id="866601508">
              <w:marLeft w:val="0"/>
              <w:marRight w:val="0"/>
              <w:marTop w:val="0"/>
              <w:marBottom w:val="0"/>
              <w:divBdr>
                <w:top w:val="none" w:sz="0" w:space="0" w:color="auto"/>
                <w:left w:val="none" w:sz="0" w:space="0" w:color="auto"/>
                <w:bottom w:val="none" w:sz="0" w:space="0" w:color="auto"/>
                <w:right w:val="none" w:sz="0" w:space="0" w:color="auto"/>
              </w:divBdr>
              <w:divsChild>
                <w:div w:id="911933655">
                  <w:marLeft w:val="0"/>
                  <w:marRight w:val="0"/>
                  <w:marTop w:val="0"/>
                  <w:marBottom w:val="0"/>
                  <w:divBdr>
                    <w:top w:val="none" w:sz="0" w:space="0" w:color="auto"/>
                    <w:left w:val="none" w:sz="0" w:space="0" w:color="auto"/>
                    <w:bottom w:val="none" w:sz="0" w:space="0" w:color="auto"/>
                    <w:right w:val="none" w:sz="0" w:space="0" w:color="auto"/>
                  </w:divBdr>
                  <w:divsChild>
                    <w:div w:id="603851698">
                      <w:marLeft w:val="0"/>
                      <w:marRight w:val="0"/>
                      <w:marTop w:val="0"/>
                      <w:marBottom w:val="0"/>
                      <w:divBdr>
                        <w:top w:val="none" w:sz="0" w:space="0" w:color="auto"/>
                        <w:left w:val="none" w:sz="0" w:space="0" w:color="auto"/>
                        <w:bottom w:val="none" w:sz="0" w:space="0" w:color="auto"/>
                        <w:right w:val="none" w:sz="0" w:space="0" w:color="auto"/>
                      </w:divBdr>
                      <w:divsChild>
                        <w:div w:id="1288777292">
                          <w:marLeft w:val="0"/>
                          <w:marRight w:val="0"/>
                          <w:marTop w:val="0"/>
                          <w:marBottom w:val="0"/>
                          <w:divBdr>
                            <w:top w:val="none" w:sz="0" w:space="0" w:color="auto"/>
                            <w:left w:val="none" w:sz="0" w:space="0" w:color="auto"/>
                            <w:bottom w:val="none" w:sz="0" w:space="0" w:color="auto"/>
                            <w:right w:val="none" w:sz="0" w:space="0" w:color="auto"/>
                          </w:divBdr>
                          <w:divsChild>
                            <w:div w:id="1543253871">
                              <w:marLeft w:val="0"/>
                              <w:marRight w:val="0"/>
                              <w:marTop w:val="0"/>
                              <w:marBottom w:val="0"/>
                              <w:divBdr>
                                <w:top w:val="none" w:sz="0" w:space="0" w:color="auto"/>
                                <w:left w:val="none" w:sz="0" w:space="0" w:color="auto"/>
                                <w:bottom w:val="none" w:sz="0" w:space="0" w:color="auto"/>
                                <w:right w:val="none" w:sz="0" w:space="0" w:color="auto"/>
                              </w:divBdr>
                              <w:divsChild>
                                <w:div w:id="884219578">
                                  <w:marLeft w:val="0"/>
                                  <w:marRight w:val="0"/>
                                  <w:marTop w:val="0"/>
                                  <w:marBottom w:val="0"/>
                                  <w:divBdr>
                                    <w:top w:val="none" w:sz="0" w:space="0" w:color="auto"/>
                                    <w:left w:val="none" w:sz="0" w:space="0" w:color="auto"/>
                                    <w:bottom w:val="single" w:sz="6" w:space="0" w:color="053793"/>
                                    <w:right w:val="none" w:sz="0" w:space="0" w:color="auto"/>
                                  </w:divBdr>
                                  <w:divsChild>
                                    <w:div w:id="1756584100">
                                      <w:marLeft w:val="0"/>
                                      <w:marRight w:val="0"/>
                                      <w:marTop w:val="0"/>
                                      <w:marBottom w:val="0"/>
                                      <w:divBdr>
                                        <w:top w:val="none" w:sz="0" w:space="0" w:color="auto"/>
                                        <w:left w:val="none" w:sz="0" w:space="0" w:color="auto"/>
                                        <w:bottom w:val="none" w:sz="0" w:space="0" w:color="auto"/>
                                        <w:right w:val="none" w:sz="0" w:space="0" w:color="auto"/>
                                      </w:divBdr>
                                      <w:divsChild>
                                        <w:div w:id="1474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tstatelibrary.org%2Fagency-specific-records-retention-schedules%2F&amp;data=05%7C01%7CRod.O%27Connor%40ct.gov%7C206c6be3a89444773c2b08da95c25492%7C118b7cfaa3dd48b9b02631ff69bb738b%7C0%7C0%7C637986959109383564%7CUnknown%7CTWFpbGZsb3d8eyJWIjoiMC4wLjAwMDAiLCJQIjoiV2luMzIiLCJBTiI6Ik1haWwiLCJXVCI6Mn0%3D%7C3000%7C%7C%7C&amp;sdata=CxLX3KupcWkbPrK7TkwRsQNtlZVOluSe7lNFt35Nwy8%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media/DDS/DDS_Manual/IF/IFPR013_Attachment_D_Residential_Transfers_Fact_Sheet.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DS/DDS_Manual/IF/IFPR013_Attachment_C_Sample_Objection_to_Transfer.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t.gov/-/media/DDS/DDS_Manual/IF/IFPR013_Attachment_B_Sample_Notice_of_Transfer.docx"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portal.ct.gov/-/media/DDS/DDS_Manual/IF/IFPR013_Attachment_A_Sample_Notice_of_Intent_to_Transfer.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E173-3867-44A9-827D-9F02034C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2481</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Connecticut</Company>
  <LinksUpToDate>false</LinksUpToDate>
  <CharactersWithSpaces>17061</CharactersWithSpaces>
  <SharedDoc>false</SharedDoc>
  <HLinks>
    <vt:vector size="24" baseType="variant">
      <vt:variant>
        <vt:i4>65607</vt:i4>
      </vt:variant>
      <vt:variant>
        <vt:i4>9</vt:i4>
      </vt:variant>
      <vt:variant>
        <vt:i4>0</vt:i4>
      </vt:variant>
      <vt:variant>
        <vt:i4>5</vt:i4>
      </vt:variant>
      <vt:variant>
        <vt:lpwstr>\\DoIT-FS201\DDS-Common\Manuals\DMR Manual\Links\Part 1 Service Delivery\I F Human Rights and Legal Responsibilites\Transfers\IFPO002PR001 Attachment D Public Home Closure Notification of Right to Hearing to Family 6-28-10.doc</vt:lpwstr>
      </vt:variant>
      <vt:variant>
        <vt:lpwstr/>
      </vt:variant>
      <vt:variant>
        <vt:i4>3997811</vt:i4>
      </vt:variant>
      <vt:variant>
        <vt:i4>6</vt:i4>
      </vt:variant>
      <vt:variant>
        <vt:i4>0</vt:i4>
      </vt:variant>
      <vt:variant>
        <vt:i4>5</vt:i4>
      </vt:variant>
      <vt:variant>
        <vt:lpwstr>\\DoIT-FS201\DDS-Common\Manuals\DMR Manual\Links\Part 1 Service Delivery\I F Human Rights and Legal Responsibilites\Transfers\IFPO002PR001 Attachment C Transfer Fact Sheet 9-10.doc</vt:lpwstr>
      </vt:variant>
      <vt:variant>
        <vt:lpwstr/>
      </vt:variant>
      <vt:variant>
        <vt:i4>3145775</vt:i4>
      </vt:variant>
      <vt:variant>
        <vt:i4>3</vt:i4>
      </vt:variant>
      <vt:variant>
        <vt:i4>0</vt:i4>
      </vt:variant>
      <vt:variant>
        <vt:i4>5</vt:i4>
      </vt:variant>
      <vt:variant>
        <vt:lpwstr>\\DoIT-FS201\DDS-Common\Manuals\DMR Manual\Links\Part 1 Service Delivery\I F Human Rights and Legal Responsibilites\Transfers\IFPO002RR001 Attachment B Objection to Transfer 6-28-10.doc</vt:lpwstr>
      </vt:variant>
      <vt:variant>
        <vt:lpwstr/>
      </vt:variant>
      <vt:variant>
        <vt:i4>3538985</vt:i4>
      </vt:variant>
      <vt:variant>
        <vt:i4>0</vt:i4>
      </vt:variant>
      <vt:variant>
        <vt:i4>0</vt:i4>
      </vt:variant>
      <vt:variant>
        <vt:i4>5</vt:i4>
      </vt:variant>
      <vt:variant>
        <vt:lpwstr>\\DoIT-FS201\DDS-Common\Manuals\DMR Manual\Links\Part 1 Service Delivery\I F Human Rights and Legal Responsibilites\Transfers\IFPO002PR001 Attachment A Notice of Intent to Transfer 6-28-10.doc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BergeronM</dc:creator>
  <cp:keywords/>
  <dc:description/>
  <cp:lastModifiedBy>O'Connor, Rod</cp:lastModifiedBy>
  <cp:revision>5</cp:revision>
  <cp:lastPrinted>2023-06-12T13:55:00Z</cp:lastPrinted>
  <dcterms:created xsi:type="dcterms:W3CDTF">2023-06-12T15:32:00Z</dcterms:created>
  <dcterms:modified xsi:type="dcterms:W3CDTF">2023-06-28T19:34:00Z</dcterms:modified>
</cp:coreProperties>
</file>