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05CA0" w:rsidRPr="000E0108" w:rsidRDefault="00B05CA0" w:rsidP="00B05CA0">
      <w:pPr>
        <w:pStyle w:val="SpecHead1"/>
        <w:rPr>
          <w:sz w:val="28"/>
          <w:szCs w:val="28"/>
        </w:rPr>
      </w:pPr>
      <w:bookmarkStart w:id="0" w:name="_GoBack"/>
      <w:bookmarkEnd w:id="0"/>
      <w:r w:rsidRPr="000E0108">
        <w:rPr>
          <w:sz w:val="28"/>
          <w:szCs w:val="28"/>
        </w:rPr>
        <w:t>item #</w:t>
      </w:r>
      <w:r>
        <w:rPr>
          <w:sz w:val="28"/>
          <w:szCs w:val="28"/>
        </w:rPr>
        <w:t>1112288</w:t>
      </w:r>
      <w:r w:rsidRPr="000E0108">
        <w:rPr>
          <w:sz w:val="28"/>
          <w:szCs w:val="28"/>
        </w:rPr>
        <w:t xml:space="preserve">A – </w:t>
      </w:r>
      <w:r>
        <w:rPr>
          <w:sz w:val="28"/>
          <w:szCs w:val="28"/>
        </w:rPr>
        <w:t>IP Video detection camera assembly</w:t>
      </w:r>
    </w:p>
    <w:p w:rsidR="00B05CA0" w:rsidRPr="000E0108" w:rsidRDefault="00B05CA0" w:rsidP="00B05CA0">
      <w:pPr>
        <w:rPr>
          <w:b/>
          <w:u w:val="single"/>
        </w:rPr>
      </w:pPr>
    </w:p>
    <w:p w:rsidR="00B05CA0" w:rsidRPr="00C84E27" w:rsidRDefault="00B05CA0" w:rsidP="00B05CA0">
      <w:pPr>
        <w:pStyle w:val="SpecHead2"/>
        <w:rPr>
          <w:b w:val="0"/>
        </w:rPr>
      </w:pPr>
      <w:r w:rsidRPr="000E0108">
        <w:t>Description:</w:t>
      </w:r>
      <w:r>
        <w:rPr>
          <w:b w:val="0"/>
        </w:rPr>
        <w:t xml:space="preserve">  </w:t>
      </w:r>
      <w:r w:rsidRPr="00C84E27">
        <w:rPr>
          <w:b w:val="0"/>
        </w:rPr>
        <w:t>Furnish and install an IP</w:t>
      </w:r>
      <w:r>
        <w:rPr>
          <w:b w:val="0"/>
        </w:rPr>
        <w:t xml:space="preserve"> (Internet Protocol)</w:t>
      </w:r>
      <w:r w:rsidRPr="00C84E27">
        <w:rPr>
          <w:b w:val="0"/>
        </w:rPr>
        <w:t xml:space="preserve"> Video Detection Camera Assembly (IPVDCA) as shown on the plans or as directed by the Engineer. </w:t>
      </w:r>
      <w:r>
        <w:rPr>
          <w:b w:val="0"/>
        </w:rPr>
        <w:t xml:space="preserve"> </w:t>
      </w:r>
      <w:r w:rsidRPr="00C84E27">
        <w:rPr>
          <w:b w:val="0"/>
        </w:rPr>
        <w:t>The IPVDCA consists of an IP Video Detection Camera, lens, enclosure</w:t>
      </w:r>
      <w:r>
        <w:rPr>
          <w:b w:val="0"/>
        </w:rPr>
        <w:t>,</w:t>
      </w:r>
      <w:r w:rsidRPr="00C84E27">
        <w:rPr>
          <w:b w:val="0"/>
        </w:rPr>
        <w:t xml:space="preserve"> mounting hardware</w:t>
      </w:r>
      <w:r w:rsidRPr="00DA536C">
        <w:rPr>
          <w:b w:val="0"/>
        </w:rPr>
        <w:t xml:space="preserve"> </w:t>
      </w:r>
      <w:r w:rsidRPr="00A17AFB">
        <w:rPr>
          <w:b w:val="0"/>
        </w:rPr>
        <w:t>and equipment necessary to provide the specified video signal to the video detection processor</w:t>
      </w:r>
      <w:r w:rsidRPr="00C84E27">
        <w:rPr>
          <w:b w:val="0"/>
        </w:rPr>
        <w:t xml:space="preserve">. </w:t>
      </w:r>
    </w:p>
    <w:p w:rsidR="00B05CA0" w:rsidRPr="000E0108" w:rsidRDefault="00B05CA0" w:rsidP="00B05CA0"/>
    <w:p w:rsidR="00B05CA0" w:rsidRPr="00C84E27" w:rsidRDefault="00B05CA0" w:rsidP="00B05CA0">
      <w:pPr>
        <w:pStyle w:val="SpecHead2"/>
        <w:rPr>
          <w:b w:val="0"/>
        </w:rPr>
      </w:pPr>
      <w:r w:rsidRPr="000E0108">
        <w:t>Materials</w:t>
      </w:r>
      <w:r w:rsidRPr="00C84E27">
        <w:rPr>
          <w:b w:val="0"/>
        </w:rPr>
        <w:t xml:space="preserve">:  All hardware shall be new, corrosion resistant. </w:t>
      </w:r>
      <w:r>
        <w:rPr>
          <w:b w:val="0"/>
        </w:rPr>
        <w:t xml:space="preserve"> </w:t>
      </w:r>
      <w:r w:rsidRPr="00C84E27">
        <w:rPr>
          <w:b w:val="0"/>
        </w:rPr>
        <w:t xml:space="preserve">All equipment shall be current production. </w:t>
      </w:r>
    </w:p>
    <w:p w:rsidR="00B05CA0" w:rsidRPr="00C84E27" w:rsidRDefault="00B05CA0" w:rsidP="00B05CA0">
      <w:pPr>
        <w:pStyle w:val="Heading1"/>
        <w:spacing w:before="0" w:after="0"/>
        <w:rPr>
          <w:rFonts w:ascii="Times New Roman" w:hAnsi="Times New Roman"/>
          <w:b w:val="0"/>
          <w:sz w:val="24"/>
          <w:u w:val="single"/>
        </w:rPr>
      </w:pPr>
      <w:r w:rsidRPr="00C84E27">
        <w:rPr>
          <w:rFonts w:ascii="Times New Roman" w:hAnsi="Times New Roman"/>
          <w:b w:val="0"/>
          <w:sz w:val="24"/>
          <w:u w:val="single"/>
        </w:rPr>
        <w:t>IP Video Detection Camera Assembly:</w:t>
      </w:r>
    </w:p>
    <w:p w:rsidR="00B05CA0" w:rsidRPr="00C84E27" w:rsidRDefault="00B05CA0" w:rsidP="00B05CA0">
      <w:pPr>
        <w:ind w:firstLine="720"/>
        <w:rPr>
          <w:u w:val="single"/>
        </w:rPr>
      </w:pPr>
      <w:r w:rsidRPr="00C84E27">
        <w:rPr>
          <w:u w:val="single"/>
        </w:rPr>
        <w:t>Camera:</w:t>
      </w:r>
    </w:p>
    <w:p w:rsidR="00B05CA0" w:rsidRPr="000E0108" w:rsidRDefault="00B05CA0" w:rsidP="00B05CA0">
      <w:pPr>
        <w:numPr>
          <w:ilvl w:val="0"/>
          <w:numId w:val="1"/>
        </w:numPr>
        <w:tabs>
          <w:tab w:val="clear" w:pos="360"/>
          <w:tab w:val="num" w:pos="720"/>
        </w:tabs>
        <w:ind w:left="1440"/>
      </w:pPr>
      <w:r>
        <w:t>Use appropriate CS-mount lens to provide adequate detection</w:t>
      </w:r>
    </w:p>
    <w:p w:rsidR="00B05CA0" w:rsidRPr="000E0108" w:rsidRDefault="00B05CA0" w:rsidP="00B05CA0">
      <w:pPr>
        <w:numPr>
          <w:ilvl w:val="0"/>
          <w:numId w:val="1"/>
        </w:numPr>
        <w:tabs>
          <w:tab w:val="clear" w:pos="360"/>
          <w:tab w:val="num" w:pos="720"/>
        </w:tabs>
        <w:ind w:left="1440"/>
      </w:pPr>
      <w:r w:rsidRPr="000E0108">
        <w:t xml:space="preserve">Single Power Over Ethernet (POE) connection for power and </w:t>
      </w:r>
      <w:r w:rsidRPr="00976884">
        <w:t>data collection</w:t>
      </w:r>
      <w:r>
        <w:t xml:space="preserve"> </w:t>
      </w:r>
    </w:p>
    <w:p w:rsidR="00B05CA0" w:rsidRPr="000E0108" w:rsidRDefault="00B05CA0" w:rsidP="00B05CA0">
      <w:pPr>
        <w:numPr>
          <w:ilvl w:val="0"/>
          <w:numId w:val="1"/>
        </w:numPr>
        <w:tabs>
          <w:tab w:val="clear" w:pos="360"/>
          <w:tab w:val="num" w:pos="1440"/>
        </w:tabs>
        <w:ind w:left="1440"/>
      </w:pPr>
      <w:r w:rsidRPr="000E0108">
        <w:t>Active picture elements (pixels): 2560 (H) x 1920 (V), minimum</w:t>
      </w:r>
    </w:p>
    <w:p w:rsidR="00B05CA0" w:rsidRPr="000E0108" w:rsidRDefault="00B05CA0" w:rsidP="00B05CA0">
      <w:pPr>
        <w:numPr>
          <w:ilvl w:val="0"/>
          <w:numId w:val="1"/>
        </w:numPr>
        <w:tabs>
          <w:tab w:val="clear" w:pos="360"/>
          <w:tab w:val="num" w:pos="720"/>
        </w:tabs>
        <w:ind w:left="1440"/>
      </w:pPr>
      <w:r w:rsidRPr="000E0108">
        <w:t>Heated camera</w:t>
      </w:r>
    </w:p>
    <w:p w:rsidR="00B05CA0" w:rsidRDefault="00B05CA0" w:rsidP="00B05CA0">
      <w:pPr>
        <w:numPr>
          <w:ilvl w:val="0"/>
          <w:numId w:val="1"/>
        </w:numPr>
        <w:tabs>
          <w:tab w:val="clear" w:pos="360"/>
          <w:tab w:val="num" w:pos="720"/>
        </w:tabs>
        <w:ind w:left="1440"/>
      </w:pPr>
      <w:r w:rsidRPr="000E0108">
        <w:t xml:space="preserve">IP addressable </w:t>
      </w:r>
    </w:p>
    <w:p w:rsidR="00B05CA0" w:rsidRPr="00C84E27" w:rsidRDefault="00B05CA0" w:rsidP="00B05CA0">
      <w:pPr>
        <w:ind w:firstLine="720"/>
        <w:rPr>
          <w:u w:val="single"/>
        </w:rPr>
      </w:pPr>
      <w:r w:rsidRPr="00C84E27">
        <w:rPr>
          <w:u w:val="single"/>
        </w:rPr>
        <w:t>Camera Enclosure:</w:t>
      </w:r>
    </w:p>
    <w:p w:rsidR="00B05CA0" w:rsidRPr="000E0108" w:rsidRDefault="00B05CA0" w:rsidP="00B05CA0">
      <w:pPr>
        <w:numPr>
          <w:ilvl w:val="0"/>
          <w:numId w:val="1"/>
        </w:numPr>
        <w:tabs>
          <w:tab w:val="clear" w:pos="360"/>
          <w:tab w:val="num" w:pos="720"/>
        </w:tabs>
        <w:ind w:left="1440"/>
      </w:pPr>
      <w:r w:rsidRPr="000E0108">
        <w:t xml:space="preserve">Tamper proof constructed of </w:t>
      </w:r>
      <w:r>
        <w:t>aluminum</w:t>
      </w:r>
    </w:p>
    <w:p w:rsidR="00B05CA0" w:rsidRPr="000E0108" w:rsidRDefault="00B05CA0" w:rsidP="00B05CA0">
      <w:pPr>
        <w:numPr>
          <w:ilvl w:val="0"/>
          <w:numId w:val="1"/>
        </w:numPr>
        <w:tabs>
          <w:tab w:val="clear" w:pos="360"/>
          <w:tab w:val="num" w:pos="720"/>
        </w:tabs>
        <w:ind w:left="1440"/>
      </w:pPr>
      <w:r w:rsidRPr="000E0108">
        <w:t>IP66-rated camera housing</w:t>
      </w:r>
    </w:p>
    <w:p w:rsidR="00B05CA0" w:rsidRPr="00C84E27" w:rsidRDefault="00B05CA0" w:rsidP="00B05CA0">
      <w:pPr>
        <w:pStyle w:val="ListParagraph"/>
        <w:ind w:left="360" w:firstLine="360"/>
        <w:rPr>
          <w:u w:val="single"/>
        </w:rPr>
      </w:pPr>
      <w:r w:rsidRPr="00C84E27">
        <w:rPr>
          <w:u w:val="single"/>
        </w:rPr>
        <w:t>Camera Mounting Hardware:</w:t>
      </w:r>
    </w:p>
    <w:p w:rsidR="00B05CA0" w:rsidRPr="000E0108" w:rsidRDefault="00B05CA0" w:rsidP="00B05CA0">
      <w:pPr>
        <w:numPr>
          <w:ilvl w:val="0"/>
          <w:numId w:val="1"/>
        </w:numPr>
        <w:tabs>
          <w:tab w:val="clear" w:pos="360"/>
          <w:tab w:val="num" w:pos="720"/>
        </w:tabs>
        <w:ind w:left="1440"/>
      </w:pPr>
      <w:r w:rsidRPr="000E0108">
        <w:t>Swivel bracket for dual plane adjustment for leveling</w:t>
      </w:r>
    </w:p>
    <w:p w:rsidR="00B05CA0" w:rsidRPr="000E0108" w:rsidRDefault="00B05CA0" w:rsidP="00B05CA0">
      <w:pPr>
        <w:numPr>
          <w:ilvl w:val="0"/>
          <w:numId w:val="1"/>
        </w:numPr>
        <w:tabs>
          <w:tab w:val="clear" w:pos="360"/>
          <w:tab w:val="num" w:pos="720"/>
        </w:tabs>
        <w:ind w:left="1440"/>
      </w:pPr>
      <w:r>
        <w:t>Hybrid t</w:t>
      </w:r>
      <w:r w:rsidRPr="000E0108">
        <w:t>erminal junction box</w:t>
      </w:r>
      <w:r>
        <w:t xml:space="preserve"> with surge</w:t>
      </w:r>
    </w:p>
    <w:p w:rsidR="00B05CA0" w:rsidRPr="000E0108" w:rsidRDefault="00B05CA0" w:rsidP="00B05CA0">
      <w:pPr>
        <w:numPr>
          <w:ilvl w:val="0"/>
          <w:numId w:val="1"/>
        </w:numPr>
        <w:tabs>
          <w:tab w:val="clear" w:pos="360"/>
          <w:tab w:val="num" w:pos="720"/>
        </w:tabs>
        <w:ind w:left="1440"/>
      </w:pPr>
      <w:r w:rsidRPr="000E0108">
        <w:t>Astro-Brac</w:t>
      </w:r>
      <w:r w:rsidR="0096095A">
        <w:t>ket</w:t>
      </w:r>
      <w:r w:rsidRPr="000E0108">
        <w:t xml:space="preserve"> banded bracket</w:t>
      </w:r>
    </w:p>
    <w:p w:rsidR="00B05CA0" w:rsidRPr="00C84E27" w:rsidRDefault="00B05CA0" w:rsidP="00B05CA0">
      <w:pPr>
        <w:ind w:firstLine="720"/>
        <w:rPr>
          <w:u w:val="single"/>
        </w:rPr>
      </w:pPr>
      <w:r w:rsidRPr="00C84E27">
        <w:rPr>
          <w:u w:val="single"/>
        </w:rPr>
        <w:t>Environmental:</w:t>
      </w:r>
    </w:p>
    <w:p w:rsidR="00B05CA0" w:rsidRPr="000E0108" w:rsidRDefault="00B05CA0" w:rsidP="00B05CA0">
      <w:pPr>
        <w:numPr>
          <w:ilvl w:val="0"/>
          <w:numId w:val="3"/>
        </w:numPr>
        <w:tabs>
          <w:tab w:val="clear" w:pos="360"/>
          <w:tab w:val="num" w:pos="720"/>
        </w:tabs>
        <w:ind w:left="1440"/>
      </w:pPr>
      <w:r w:rsidRPr="000E0108">
        <w:t>Comply with NEMA TS 2, Section 2 requirements for Controller Assembly</w:t>
      </w:r>
    </w:p>
    <w:p w:rsidR="00B05CA0" w:rsidRPr="000E0108" w:rsidRDefault="00B05CA0" w:rsidP="00B05CA0">
      <w:pPr>
        <w:numPr>
          <w:ilvl w:val="0"/>
          <w:numId w:val="3"/>
        </w:numPr>
        <w:tabs>
          <w:tab w:val="clear" w:pos="360"/>
          <w:tab w:val="num" w:pos="720"/>
        </w:tabs>
        <w:ind w:left="1440"/>
      </w:pPr>
      <w:r w:rsidRPr="000E0108">
        <w:t xml:space="preserve">Pass </w:t>
      </w:r>
      <w:r>
        <w:t xml:space="preserve">the </w:t>
      </w:r>
      <w:r w:rsidRPr="000E0108">
        <w:t>following NEMA TS 2 tests and applicable test procedures</w:t>
      </w:r>
    </w:p>
    <w:p w:rsidR="00B05CA0" w:rsidRPr="000E0108" w:rsidRDefault="00B05CA0" w:rsidP="00B05CA0">
      <w:pPr>
        <w:numPr>
          <w:ilvl w:val="0"/>
          <w:numId w:val="4"/>
        </w:numPr>
        <w:tabs>
          <w:tab w:val="clear" w:pos="360"/>
          <w:tab w:val="num" w:pos="300"/>
          <w:tab w:val="num" w:pos="1860"/>
        </w:tabs>
        <w:ind w:left="1800"/>
      </w:pPr>
      <w:r w:rsidRPr="000E0108">
        <w:t xml:space="preserve">Vibration: </w:t>
      </w:r>
      <w:r>
        <w:t xml:space="preserve"> </w:t>
      </w:r>
      <w:r w:rsidRPr="000E0108">
        <w:t>Section 3.13.3, Section 3.13.8</w:t>
      </w:r>
    </w:p>
    <w:p w:rsidR="00B05CA0" w:rsidRPr="000E0108" w:rsidRDefault="00B05CA0" w:rsidP="00B05CA0">
      <w:pPr>
        <w:numPr>
          <w:ilvl w:val="0"/>
          <w:numId w:val="4"/>
        </w:numPr>
        <w:tabs>
          <w:tab w:val="clear" w:pos="360"/>
          <w:tab w:val="num" w:pos="300"/>
          <w:tab w:val="num" w:pos="1860"/>
        </w:tabs>
        <w:ind w:left="1800"/>
      </w:pPr>
      <w:r w:rsidRPr="000E0108">
        <w:t xml:space="preserve">Shock: </w:t>
      </w:r>
      <w:r>
        <w:t xml:space="preserve"> </w:t>
      </w:r>
      <w:r w:rsidRPr="000E0108">
        <w:t>Section 3.13.4, Section 3.13.9</w:t>
      </w:r>
    </w:p>
    <w:p w:rsidR="00B05CA0" w:rsidRPr="000E0108" w:rsidRDefault="00B05CA0" w:rsidP="00B05CA0">
      <w:pPr>
        <w:numPr>
          <w:ilvl w:val="0"/>
          <w:numId w:val="4"/>
        </w:numPr>
        <w:tabs>
          <w:tab w:val="clear" w:pos="360"/>
          <w:tab w:val="num" w:pos="300"/>
          <w:tab w:val="num" w:pos="1860"/>
        </w:tabs>
        <w:ind w:left="1800"/>
      </w:pPr>
      <w:r w:rsidRPr="000E0108">
        <w:t xml:space="preserve">Transients, Temperature, Voltage and Humidity: </w:t>
      </w:r>
      <w:r>
        <w:t xml:space="preserve"> </w:t>
      </w:r>
      <w:r w:rsidRPr="000E0108">
        <w:t>Section 3.13.7</w:t>
      </w:r>
    </w:p>
    <w:p w:rsidR="00B05CA0" w:rsidRPr="000E0108" w:rsidRDefault="00B05CA0" w:rsidP="00B05CA0">
      <w:pPr>
        <w:numPr>
          <w:ilvl w:val="0"/>
          <w:numId w:val="4"/>
        </w:numPr>
        <w:tabs>
          <w:tab w:val="clear" w:pos="360"/>
          <w:tab w:val="num" w:pos="300"/>
          <w:tab w:val="num" w:pos="1860"/>
        </w:tabs>
        <w:ind w:left="1800"/>
      </w:pPr>
      <w:r w:rsidRPr="000E0108">
        <w:t xml:space="preserve">Power Interruption: </w:t>
      </w:r>
      <w:r>
        <w:t xml:space="preserve"> </w:t>
      </w:r>
      <w:r w:rsidRPr="000E0108">
        <w:t>Section 3.13.10</w:t>
      </w:r>
    </w:p>
    <w:p w:rsidR="00B05CA0" w:rsidRPr="000E0108" w:rsidRDefault="00B05CA0" w:rsidP="00B05CA0"/>
    <w:p w:rsidR="00B05CA0" w:rsidRDefault="00B05CA0" w:rsidP="00B05CA0">
      <w:r>
        <w:rPr>
          <w:b/>
        </w:rPr>
        <w:t>Construction Methods:</w:t>
      </w:r>
    </w:p>
    <w:p w:rsidR="00B05CA0" w:rsidRDefault="00B05CA0" w:rsidP="00B05CA0">
      <w:r w:rsidRPr="00B02FBA">
        <w:rPr>
          <w:u w:val="single"/>
        </w:rPr>
        <w:t>Site Survey:</w:t>
      </w:r>
      <w:r>
        <w:t xml:space="preserve">  </w:t>
      </w:r>
      <w:r w:rsidRPr="000E0108">
        <w:t xml:space="preserve">Perform a </w:t>
      </w:r>
      <w:r>
        <w:t>S</w:t>
      </w:r>
      <w:r w:rsidRPr="000E0108">
        <w:t xml:space="preserve">ite </w:t>
      </w:r>
      <w:r>
        <w:t>S</w:t>
      </w:r>
      <w:r w:rsidRPr="000E0108">
        <w:t xml:space="preserve">urvey with the </w:t>
      </w:r>
      <w:r>
        <w:t>IPVDCA</w:t>
      </w:r>
      <w:r w:rsidRPr="000E0108">
        <w:t xml:space="preserve"> manufacturer</w:t>
      </w:r>
      <w:r>
        <w:t>’s</w:t>
      </w:r>
      <w:r w:rsidRPr="000E0108">
        <w:t xml:space="preserve"> representative </w:t>
      </w:r>
      <w:r>
        <w:t>for</w:t>
      </w:r>
      <w:r w:rsidRPr="000E0108">
        <w:t xml:space="preserve"> all </w:t>
      </w:r>
      <w:r>
        <w:t>IPVDCA</w:t>
      </w:r>
      <w:r w:rsidRPr="000E0108">
        <w:t xml:space="preserve"> locations</w:t>
      </w:r>
      <w:r>
        <w:t xml:space="preserve"> </w:t>
      </w:r>
      <w:r w:rsidRPr="00DB04EC">
        <w:t xml:space="preserve">prior to installation. </w:t>
      </w:r>
      <w:r>
        <w:t xml:space="preserve"> </w:t>
      </w:r>
      <w:r w:rsidRPr="000E0108">
        <w:t xml:space="preserve">The purpose of the </w:t>
      </w:r>
      <w:r>
        <w:t>S</w:t>
      </w:r>
      <w:r w:rsidRPr="000E0108">
        <w:t xml:space="preserve">urvey is to optimize the performance </w:t>
      </w:r>
      <w:r>
        <w:t>of</w:t>
      </w:r>
      <w:r w:rsidRPr="000E0108">
        <w:t xml:space="preserve"> the </w:t>
      </w:r>
      <w:r>
        <w:t>IPVDCA</w:t>
      </w:r>
      <w:r w:rsidRPr="000E0108">
        <w:t xml:space="preserve"> equipment when it is installed and </w:t>
      </w:r>
      <w:r>
        <w:t>e</w:t>
      </w:r>
      <w:r w:rsidRPr="000E0108">
        <w:t xml:space="preserve">nsure that it will meet the accuracy requirements specified. </w:t>
      </w:r>
      <w:r>
        <w:t xml:space="preserve"> </w:t>
      </w:r>
      <w:r w:rsidRPr="00DB04EC">
        <w:t xml:space="preserve">Prior to installation, </w:t>
      </w:r>
      <w:r>
        <w:t>s</w:t>
      </w:r>
      <w:r w:rsidRPr="000E0108">
        <w:t xml:space="preserve">ubmit the results of </w:t>
      </w:r>
      <w:r>
        <w:t>the Site</w:t>
      </w:r>
      <w:r w:rsidRPr="000E0108">
        <w:t xml:space="preserve"> </w:t>
      </w:r>
      <w:r>
        <w:t>S</w:t>
      </w:r>
      <w:r w:rsidRPr="000E0108">
        <w:t xml:space="preserve">urvey to the Engineer in a report which lists all </w:t>
      </w:r>
      <w:r>
        <w:t>IPVDCA</w:t>
      </w:r>
      <w:r w:rsidRPr="000E0108">
        <w:t xml:space="preserve"> locations with any recommended changes to camera locations, mounting adjustments, camera lens adjustments, and desired detection zone locations. </w:t>
      </w:r>
    </w:p>
    <w:p w:rsidR="0046012B" w:rsidRDefault="0046012B" w:rsidP="00B05CA0"/>
    <w:p w:rsidR="00B05CA0" w:rsidRPr="000E0108" w:rsidRDefault="00B05CA0" w:rsidP="00B05CA0">
      <w:r>
        <w:t xml:space="preserve">  </w:t>
      </w:r>
      <w:r w:rsidRPr="000E0108">
        <w:t xml:space="preserve">Install </w:t>
      </w:r>
      <w:r>
        <w:t>IPVDCA</w:t>
      </w:r>
      <w:r w:rsidRPr="000E0108">
        <w:t xml:space="preserve"> equipment in accordance with the manufacturer</w:t>
      </w:r>
      <w:r>
        <w:t>’s</w:t>
      </w:r>
      <w:r w:rsidRPr="000E0108">
        <w:t xml:space="preserve"> instructions and </w:t>
      </w:r>
      <w:r>
        <w:t>the attached details</w:t>
      </w:r>
      <w:r w:rsidRPr="000E0108">
        <w:t xml:space="preserve"> to achieve the detection zones</w:t>
      </w:r>
      <w:r>
        <w:t xml:space="preserve"> in the location(s) determined</w:t>
      </w:r>
      <w:r w:rsidRPr="000E0108">
        <w:t xml:space="preserve"> as a result of the Site Survey. </w:t>
      </w:r>
      <w:r w:rsidR="0046012B">
        <w:t xml:space="preserve">Refer to the “Installation Best Practices Guide” attached below to this specification. Note that all references to “Cat5e cable” in the attached “Installation Best Practices Guide” shall refer to “23 </w:t>
      </w:r>
      <w:r w:rsidR="0046012B">
        <w:lastRenderedPageBreak/>
        <w:t>AWG 4 Twisted Pair Category 6 Cable” as specified in “Item #1113725A</w:t>
      </w:r>
      <w:r w:rsidR="0046012B" w:rsidRPr="0046012B">
        <w:t xml:space="preserve"> – 23 </w:t>
      </w:r>
      <w:r w:rsidR="0046012B">
        <w:t>AWG</w:t>
      </w:r>
      <w:r w:rsidR="0046012B" w:rsidRPr="0046012B">
        <w:t xml:space="preserve"> 4 Twisted Pair Category 6 Cable</w:t>
      </w:r>
      <w:r w:rsidR="0046012B">
        <w:t>.”</w:t>
      </w:r>
    </w:p>
    <w:p w:rsidR="0046012B" w:rsidRDefault="0046012B" w:rsidP="00B05CA0">
      <w:pPr>
        <w:rPr>
          <w:u w:val="single"/>
        </w:rPr>
      </w:pPr>
    </w:p>
    <w:p w:rsidR="00B05CA0" w:rsidRPr="00C84E27" w:rsidRDefault="00B05CA0" w:rsidP="00B05CA0">
      <w:pPr>
        <w:rPr>
          <w:b/>
          <w:u w:val="single"/>
        </w:rPr>
      </w:pPr>
      <w:r w:rsidRPr="00C84E27">
        <w:rPr>
          <w:u w:val="single"/>
        </w:rPr>
        <w:t>Documentation:</w:t>
      </w:r>
      <w:r>
        <w:rPr>
          <w:u w:val="single"/>
        </w:rPr>
        <w:t xml:space="preserve"> </w:t>
      </w:r>
      <w:r w:rsidRPr="00C84E27">
        <w:rPr>
          <w:u w:val="single"/>
        </w:rPr>
        <w:t xml:space="preserve"> (IPVDCA</w:t>
      </w:r>
      <w:r w:rsidRPr="00C84E27">
        <w:rPr>
          <w:b/>
          <w:u w:val="single"/>
        </w:rPr>
        <w:t>)</w:t>
      </w:r>
    </w:p>
    <w:p w:rsidR="00B05CA0" w:rsidRPr="000E0108" w:rsidRDefault="00B05CA0" w:rsidP="00B05CA0">
      <w:pPr>
        <w:pStyle w:val="BodyTextIndent2"/>
        <w:spacing w:after="0" w:line="240" w:lineRule="auto"/>
        <w:ind w:left="0"/>
      </w:pPr>
      <w:r>
        <w:t xml:space="preserve">  </w:t>
      </w:r>
      <w:r w:rsidRPr="000E0108">
        <w:t xml:space="preserve">Provide to </w:t>
      </w:r>
      <w:r>
        <w:t>CTDOT</w:t>
      </w:r>
      <w:r w:rsidRPr="00C84E27">
        <w:t xml:space="preserve"> Office of Maintenance</w:t>
      </w:r>
      <w:r w:rsidRPr="000E0108">
        <w:t xml:space="preserve"> three (3) copies of equipment manuals furnished by the manufacturer, includ</w:t>
      </w:r>
      <w:r>
        <w:t>ing</w:t>
      </w:r>
      <w:r w:rsidRPr="000E0108">
        <w:t xml:space="preserve"> the following:</w:t>
      </w:r>
    </w:p>
    <w:p w:rsidR="00B05CA0" w:rsidRPr="000E0108" w:rsidRDefault="00B05CA0" w:rsidP="00B05CA0">
      <w:pPr>
        <w:numPr>
          <w:ilvl w:val="0"/>
          <w:numId w:val="2"/>
        </w:numPr>
        <w:tabs>
          <w:tab w:val="clear" w:pos="360"/>
          <w:tab w:val="num" w:pos="-360"/>
        </w:tabs>
      </w:pPr>
      <w:r w:rsidRPr="000E0108">
        <w:t>Installation and operation procedures</w:t>
      </w:r>
    </w:p>
    <w:p w:rsidR="00B05CA0" w:rsidRPr="000E0108" w:rsidRDefault="00B05CA0" w:rsidP="00B05CA0">
      <w:pPr>
        <w:numPr>
          <w:ilvl w:val="0"/>
          <w:numId w:val="2"/>
        </w:numPr>
        <w:tabs>
          <w:tab w:val="clear" w:pos="360"/>
          <w:tab w:val="num" w:pos="720"/>
        </w:tabs>
      </w:pPr>
      <w:r w:rsidRPr="000E0108">
        <w:t>Performance specifications (functions, electrical, mechanical and environmental) of the unit</w:t>
      </w:r>
    </w:p>
    <w:p w:rsidR="00B05CA0" w:rsidRPr="000E0108" w:rsidRDefault="00B05CA0" w:rsidP="00B05CA0">
      <w:pPr>
        <w:numPr>
          <w:ilvl w:val="0"/>
          <w:numId w:val="2"/>
        </w:numPr>
        <w:tabs>
          <w:tab w:val="clear" w:pos="360"/>
          <w:tab w:val="num" w:pos="720"/>
        </w:tabs>
      </w:pPr>
      <w:r w:rsidRPr="000E0108">
        <w:t>Schematic diagrams</w:t>
      </w:r>
      <w:r>
        <w:t xml:space="preserve"> (point to point wiring)</w:t>
      </w:r>
    </w:p>
    <w:p w:rsidR="00B05CA0" w:rsidRPr="000E0108" w:rsidRDefault="00B05CA0" w:rsidP="00B05CA0">
      <w:pPr>
        <w:numPr>
          <w:ilvl w:val="0"/>
          <w:numId w:val="2"/>
        </w:numPr>
        <w:tabs>
          <w:tab w:val="clear" w:pos="360"/>
          <w:tab w:val="num" w:pos="720"/>
        </w:tabs>
      </w:pPr>
      <w:r w:rsidRPr="000E0108">
        <w:t>Pictorial of component layout on circuit board</w:t>
      </w:r>
    </w:p>
    <w:p w:rsidR="00B05CA0" w:rsidRPr="000E0108" w:rsidRDefault="00B05CA0" w:rsidP="00B05CA0">
      <w:pPr>
        <w:numPr>
          <w:ilvl w:val="0"/>
          <w:numId w:val="2"/>
        </w:numPr>
        <w:tabs>
          <w:tab w:val="clear" w:pos="360"/>
          <w:tab w:val="num" w:pos="720"/>
        </w:tabs>
      </w:pPr>
      <w:r w:rsidRPr="000E0108">
        <w:t>List of replaceable parts including names of vendors for parts not identified by universal part numbers such as JEDEC/RETMA or EIA</w:t>
      </w:r>
    </w:p>
    <w:p w:rsidR="00B05CA0" w:rsidRDefault="00B05CA0" w:rsidP="00B05CA0">
      <w:pPr>
        <w:numPr>
          <w:ilvl w:val="0"/>
          <w:numId w:val="2"/>
        </w:numPr>
        <w:tabs>
          <w:tab w:val="clear" w:pos="360"/>
          <w:tab w:val="num" w:pos="720"/>
        </w:tabs>
      </w:pPr>
      <w:r w:rsidRPr="000E0108">
        <w:t>Troubleshooting, diagnostic and maintenance procedures</w:t>
      </w:r>
    </w:p>
    <w:p w:rsidR="007F0354" w:rsidRPr="000E0108" w:rsidRDefault="007F0354" w:rsidP="007F0354">
      <w:pPr>
        <w:ind w:left="360"/>
      </w:pPr>
    </w:p>
    <w:p w:rsidR="00B05CA0" w:rsidRPr="00B05CA0" w:rsidRDefault="00B05CA0" w:rsidP="00B05CA0">
      <w:pPr>
        <w:rPr>
          <w:u w:val="single"/>
        </w:rPr>
      </w:pPr>
      <w:r w:rsidRPr="00B05CA0">
        <w:rPr>
          <w:u w:val="single"/>
        </w:rPr>
        <w:t xml:space="preserve">Warranties and Guarantees: </w:t>
      </w:r>
      <w:r>
        <w:rPr>
          <w:u w:val="single"/>
        </w:rPr>
        <w:t xml:space="preserve"> </w:t>
      </w:r>
      <w:r w:rsidRPr="00B05CA0">
        <w:rPr>
          <w:u w:val="single"/>
        </w:rPr>
        <w:t>(IPVDCA)</w:t>
      </w:r>
    </w:p>
    <w:p w:rsidR="00B05CA0" w:rsidRPr="000E0108" w:rsidRDefault="00B05CA0" w:rsidP="00B05CA0">
      <w:r>
        <w:t xml:space="preserve">  </w:t>
      </w:r>
      <w:r w:rsidRPr="000E0108">
        <w:t xml:space="preserve">Provide warranties and guarantees to the </w:t>
      </w:r>
      <w:r>
        <w:t>CTDOT</w:t>
      </w:r>
      <w:r w:rsidRPr="00B05CA0">
        <w:t xml:space="preserve"> Office of Maintenance</w:t>
      </w:r>
      <w:r w:rsidRPr="000E0108">
        <w:t xml:space="preserve"> in accordance with Article 1.06.08 of the Standard Specifications. </w:t>
      </w:r>
      <w:r>
        <w:t xml:space="preserve"> </w:t>
      </w:r>
      <w:r w:rsidRPr="000E0108">
        <w:t xml:space="preserve">Warranties for all equipment furnished as part of this Contract are to cover a period of </w:t>
      </w:r>
      <w:r>
        <w:t>36</w:t>
      </w:r>
      <w:r w:rsidRPr="000E0108">
        <w:t xml:space="preserve"> months following successful completion of the entire intersection acceptance test.</w:t>
      </w:r>
    </w:p>
    <w:p w:rsidR="00B05CA0" w:rsidRDefault="00B05CA0" w:rsidP="00B05CA0">
      <w:pPr>
        <w:pStyle w:val="SpecHead2"/>
      </w:pPr>
    </w:p>
    <w:p w:rsidR="00B05CA0" w:rsidRPr="00A17AFB" w:rsidRDefault="00B05CA0" w:rsidP="00B05CA0">
      <w:pPr>
        <w:pStyle w:val="SpecHead2"/>
        <w:rPr>
          <w:b w:val="0"/>
        </w:rPr>
      </w:pPr>
      <w:r w:rsidRPr="000E0108">
        <w:t>Method of Measurement:</w:t>
      </w:r>
      <w:r>
        <w:rPr>
          <w:b w:val="0"/>
        </w:rPr>
        <w:t xml:space="preserve">  </w:t>
      </w:r>
      <w:r w:rsidRPr="00A17AFB">
        <w:rPr>
          <w:b w:val="0"/>
        </w:rPr>
        <w:t xml:space="preserve">The IP Video Detection Camera Assembly will be measured for payment as the number of </w:t>
      </w:r>
      <w:r>
        <w:rPr>
          <w:b w:val="0"/>
        </w:rPr>
        <w:t xml:space="preserve">each assembly of </w:t>
      </w:r>
      <w:r w:rsidRPr="00A17AFB">
        <w:rPr>
          <w:b w:val="0"/>
        </w:rPr>
        <w:t>IP video cameras, lens</w:t>
      </w:r>
      <w:r>
        <w:rPr>
          <w:b w:val="0"/>
        </w:rPr>
        <w:t>es</w:t>
      </w:r>
      <w:r w:rsidRPr="00A17AFB">
        <w:rPr>
          <w:b w:val="0"/>
        </w:rPr>
        <w:t>, enclosures and mounting hardware furnished, installed, operational and accepted.</w:t>
      </w:r>
    </w:p>
    <w:p w:rsidR="00B05CA0" w:rsidRDefault="00B05CA0" w:rsidP="00B05CA0">
      <w:pPr>
        <w:ind w:left="360"/>
      </w:pPr>
    </w:p>
    <w:p w:rsidR="00B05CA0" w:rsidRDefault="00B05CA0" w:rsidP="00B05CA0">
      <w:pPr>
        <w:pStyle w:val="SpecHead2"/>
        <w:rPr>
          <w:b w:val="0"/>
        </w:rPr>
      </w:pPr>
      <w:r w:rsidRPr="000E0108">
        <w:t>Basis of Payment</w:t>
      </w:r>
      <w:r w:rsidRPr="00A17AFB">
        <w:rPr>
          <w:b w:val="0"/>
        </w:rPr>
        <w:t>:  Th</w:t>
      </w:r>
      <w:r>
        <w:rPr>
          <w:b w:val="0"/>
        </w:rPr>
        <w:t>is item will be paid at the Contract</w:t>
      </w:r>
      <w:r w:rsidRPr="00A17AFB">
        <w:rPr>
          <w:b w:val="0"/>
        </w:rPr>
        <w:t xml:space="preserve"> unit price for </w:t>
      </w:r>
      <w:r>
        <w:rPr>
          <w:b w:val="0"/>
        </w:rPr>
        <w:t>each “</w:t>
      </w:r>
      <w:r w:rsidRPr="00A17AFB">
        <w:rPr>
          <w:b w:val="0"/>
        </w:rPr>
        <w:t>IP Video Detection Camera Assembly</w:t>
      </w:r>
      <w:r>
        <w:rPr>
          <w:b w:val="0"/>
        </w:rPr>
        <w:t>” complete and accepted, which price shall</w:t>
      </w:r>
      <w:r w:rsidRPr="00A17AFB">
        <w:rPr>
          <w:b w:val="0"/>
        </w:rPr>
        <w:t xml:space="preserve"> include the </w:t>
      </w:r>
      <w:r>
        <w:rPr>
          <w:b w:val="0"/>
        </w:rPr>
        <w:t xml:space="preserve">Site Survey, </w:t>
      </w:r>
      <w:r w:rsidRPr="00A17AFB">
        <w:rPr>
          <w:b w:val="0"/>
        </w:rPr>
        <w:t>IP video camera, lens, enclosure, brackets used to attach the IP video camera to a support structure or extension bracket, documentation, warrantee, labor, tools and equipment necessary to provide the specified video signal to the video detection processor.</w:t>
      </w:r>
    </w:p>
    <w:p w:rsidR="00B05CA0" w:rsidRPr="00B05CA0" w:rsidRDefault="00B05CA0" w:rsidP="00B05CA0"/>
    <w:p w:rsidR="00B05CA0" w:rsidRDefault="00B05CA0" w:rsidP="00B05CA0">
      <w:pPr>
        <w:pStyle w:val="Heading2"/>
        <w:tabs>
          <w:tab w:val="center" w:pos="5760"/>
        </w:tabs>
        <w:spacing w:before="0" w:after="0"/>
        <w:ind w:firstLine="720"/>
        <w:rPr>
          <w:rFonts w:ascii="Times New Roman" w:hAnsi="Times New Roman"/>
          <w:b w:val="0"/>
          <w:i w:val="0"/>
        </w:rPr>
      </w:pPr>
      <w:r>
        <w:rPr>
          <w:rFonts w:ascii="Times New Roman" w:hAnsi="Times New Roman"/>
          <w:b w:val="0"/>
          <w:i w:val="0"/>
        </w:rPr>
        <w:t xml:space="preserve">  </w:t>
      </w:r>
      <w:r w:rsidRPr="00A17AFB">
        <w:rPr>
          <w:rFonts w:ascii="Times New Roman" w:hAnsi="Times New Roman"/>
          <w:b w:val="0"/>
          <w:i w:val="0"/>
        </w:rPr>
        <w:t>Pay Item</w:t>
      </w:r>
      <w:r w:rsidRPr="00A17AFB">
        <w:rPr>
          <w:rFonts w:ascii="Times New Roman" w:hAnsi="Times New Roman"/>
          <w:i w:val="0"/>
        </w:rPr>
        <w:tab/>
      </w:r>
      <w:r w:rsidRPr="00A17AFB">
        <w:rPr>
          <w:rFonts w:ascii="Times New Roman" w:hAnsi="Times New Roman"/>
          <w:b w:val="0"/>
          <w:i w:val="0"/>
        </w:rPr>
        <w:t>Pay Unit</w:t>
      </w:r>
    </w:p>
    <w:p w:rsidR="00B05CA0" w:rsidRPr="00B05CA0" w:rsidRDefault="00B05CA0" w:rsidP="00B05CA0"/>
    <w:p w:rsidR="00B05CA0" w:rsidRPr="000E0108" w:rsidRDefault="00B05CA0" w:rsidP="00B05CA0">
      <w:pPr>
        <w:tabs>
          <w:tab w:val="center" w:pos="5760"/>
        </w:tabs>
        <w:ind w:left="720"/>
      </w:pPr>
      <w:r>
        <w:t>IP Video Detection Camera Assembly</w:t>
      </w:r>
      <w:r w:rsidRPr="000E0108">
        <w:tab/>
      </w:r>
      <w:r>
        <w:t>e</w:t>
      </w:r>
      <w:r w:rsidRPr="000E0108">
        <w:t>a.</w:t>
      </w:r>
    </w:p>
    <w:p w:rsidR="0046012B" w:rsidRDefault="0046012B" w:rsidP="0046012B">
      <w:pPr>
        <w:jc w:val="left"/>
        <w:rPr>
          <w:noProof/>
        </w:rPr>
      </w:pPr>
    </w:p>
    <w:p w:rsidR="0046012B" w:rsidRDefault="0046012B" w:rsidP="0046012B">
      <w:pPr>
        <w:jc w:val="left"/>
        <w:rPr>
          <w:noProof/>
        </w:rPr>
      </w:pPr>
      <w:r>
        <w:rPr>
          <w:noProof/>
        </w:rPr>
        <w:lastRenderedPageBreak/>
        <w:drawing>
          <wp:inline distT="0" distB="0" distL="0" distR="0" wp14:anchorId="15653909">
            <wp:extent cx="6059805" cy="7840345"/>
            <wp:effectExtent l="0" t="0" r="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9805" cy="7840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6012B" w:rsidRDefault="0046012B" w:rsidP="0046012B">
      <w:pPr>
        <w:jc w:val="left"/>
        <w:rPr>
          <w:noProof/>
        </w:rPr>
      </w:pPr>
      <w:r>
        <w:rPr>
          <w:noProof/>
        </w:rPr>
        <w:lastRenderedPageBreak/>
        <w:drawing>
          <wp:inline distT="0" distB="0" distL="0" distR="0" wp14:anchorId="3E63F42E">
            <wp:extent cx="6401435" cy="800481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1435" cy="8004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B4386" w:rsidRDefault="0046012B" w:rsidP="0046012B">
      <w:pPr>
        <w:jc w:val="left"/>
        <w:rPr>
          <w:noProof/>
        </w:rPr>
      </w:pPr>
      <w:r>
        <w:rPr>
          <w:noProof/>
        </w:rPr>
        <w:lastRenderedPageBreak/>
        <w:drawing>
          <wp:inline distT="0" distB="0" distL="0" distR="0" wp14:anchorId="5077163B">
            <wp:extent cx="6401435" cy="800481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1435" cy="8004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AB4386">
      <w:headerReference w:type="default" r:id="rId11"/>
      <w:footerReference w:type="default" r:id="rId12"/>
      <w:pgSz w:w="12240" w:h="15840"/>
      <w:pgMar w:top="2160" w:right="1440" w:bottom="1080" w:left="1440" w:header="1440" w:footer="43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F0390" w:rsidRDefault="00107EB0">
      <w:r>
        <w:separator/>
      </w:r>
    </w:p>
  </w:endnote>
  <w:endnote w:type="continuationSeparator" w:id="0">
    <w:p w:rsidR="009F0390" w:rsidRDefault="00107E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546D1" w:rsidRDefault="00B05CA0">
    <w:pPr>
      <w:pStyle w:val="Footer"/>
    </w:pPr>
    <w:r>
      <w:fldChar w:fldCharType="begin"/>
    </w:r>
    <w:r>
      <w:instrText xml:space="preserve"> COMMENTS  \* MERGEFORMAT </w:instrText>
    </w:r>
    <w:r>
      <w:fldChar w:fldCharType="end"/>
    </w:r>
    <w:r>
      <w:tab/>
    </w:r>
    <w:r>
      <w:rPr>
        <w:rStyle w:val="PageNumber"/>
      </w:rPr>
      <w:tab/>
      <w:t>item #1112288A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F0390" w:rsidRDefault="00107EB0">
      <w:r>
        <w:separator/>
      </w:r>
    </w:p>
  </w:footnote>
  <w:footnote w:type="continuationSeparator" w:id="0">
    <w:p w:rsidR="009F0390" w:rsidRDefault="00107EB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546D1" w:rsidRDefault="007F0354">
    <w:pPr>
      <w:pStyle w:val="Header"/>
      <w:jc w:val="right"/>
    </w:pPr>
    <w:r>
      <w:t xml:space="preserve">Rev </w:t>
    </w:r>
    <w:r w:rsidR="007D2821">
      <w:t>04</w:t>
    </w:r>
    <w:r w:rsidR="009B459D">
      <w:t>-</w:t>
    </w:r>
    <w:r w:rsidR="007D2821">
      <w:t>19</w:t>
    </w:r>
  </w:p>
  <w:p w:rsidR="008546D1" w:rsidRPr="00B00FEF" w:rsidRDefault="00B05CA0">
    <w:pPr>
      <w:pStyle w:val="Header"/>
      <w:jc w:val="right"/>
      <w:rPr>
        <w:sz w:val="14"/>
        <w:szCs w:val="14"/>
      </w:rPr>
    </w:pPr>
    <w:r w:rsidRPr="00B00FEF">
      <w:rPr>
        <w:rStyle w:val="PageNumber"/>
        <w:sz w:val="14"/>
        <w:szCs w:val="14"/>
      </w:rPr>
      <w:fldChar w:fldCharType="begin"/>
    </w:r>
    <w:r w:rsidRPr="00B00FEF">
      <w:rPr>
        <w:rStyle w:val="PageNumber"/>
        <w:sz w:val="14"/>
        <w:szCs w:val="14"/>
      </w:rPr>
      <w:instrText xml:space="preserve"> PAGE </w:instrText>
    </w:r>
    <w:r w:rsidRPr="00B00FEF">
      <w:rPr>
        <w:rStyle w:val="PageNumber"/>
        <w:sz w:val="14"/>
        <w:szCs w:val="14"/>
      </w:rPr>
      <w:fldChar w:fldCharType="separate"/>
    </w:r>
    <w:r w:rsidR="004433EC">
      <w:rPr>
        <w:rStyle w:val="PageNumber"/>
        <w:noProof/>
        <w:sz w:val="14"/>
        <w:szCs w:val="14"/>
      </w:rPr>
      <w:t>2</w:t>
    </w:r>
    <w:r w:rsidRPr="00B00FEF">
      <w:rPr>
        <w:rStyle w:val="PageNumber"/>
        <w:sz w:val="14"/>
        <w:szCs w:val="14"/>
      </w:rPr>
      <w:fldChar w:fldCharType="end"/>
    </w:r>
    <w:r w:rsidRPr="00B00FEF">
      <w:rPr>
        <w:rStyle w:val="PageNumber"/>
        <w:sz w:val="14"/>
        <w:szCs w:val="14"/>
      </w:rPr>
      <w:t xml:space="preserve"> of </w:t>
    </w:r>
    <w:r w:rsidRPr="00B00FEF">
      <w:rPr>
        <w:rStyle w:val="PageNumber"/>
        <w:sz w:val="14"/>
        <w:szCs w:val="14"/>
      </w:rPr>
      <w:fldChar w:fldCharType="begin"/>
    </w:r>
    <w:r w:rsidRPr="00B00FEF">
      <w:rPr>
        <w:rStyle w:val="PageNumber"/>
        <w:sz w:val="14"/>
        <w:szCs w:val="14"/>
      </w:rPr>
      <w:instrText xml:space="preserve"> NUMPAGES </w:instrText>
    </w:r>
    <w:r w:rsidRPr="00B00FEF">
      <w:rPr>
        <w:rStyle w:val="PageNumber"/>
        <w:sz w:val="14"/>
        <w:szCs w:val="14"/>
      </w:rPr>
      <w:fldChar w:fldCharType="separate"/>
    </w:r>
    <w:r w:rsidR="004433EC">
      <w:rPr>
        <w:rStyle w:val="PageNumber"/>
        <w:noProof/>
        <w:sz w:val="14"/>
        <w:szCs w:val="14"/>
      </w:rPr>
      <w:t>5</w:t>
    </w:r>
    <w:r w:rsidRPr="00B00FEF">
      <w:rPr>
        <w:rStyle w:val="PageNumber"/>
        <w:sz w:val="14"/>
        <w:szCs w:val="14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C0358A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23035AD0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59E91B35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7F616F8B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trackRevision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5CA0"/>
    <w:rsid w:val="00107EB0"/>
    <w:rsid w:val="00261361"/>
    <w:rsid w:val="002640DA"/>
    <w:rsid w:val="004433EC"/>
    <w:rsid w:val="0046012B"/>
    <w:rsid w:val="007D2821"/>
    <w:rsid w:val="007F0354"/>
    <w:rsid w:val="0096095A"/>
    <w:rsid w:val="009B459D"/>
    <w:rsid w:val="009F0390"/>
    <w:rsid w:val="00A15808"/>
    <w:rsid w:val="00B05CA0"/>
    <w:rsid w:val="00C304D9"/>
    <w:rsid w:val="00D716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7347391-DBC6-4949-B91F-4E685DFE50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05CA0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</w:rPr>
  </w:style>
  <w:style w:type="paragraph" w:styleId="Heading1">
    <w:name w:val="heading 1"/>
    <w:basedOn w:val="Normal"/>
    <w:next w:val="Normal"/>
    <w:link w:val="Heading1Char"/>
    <w:qFormat/>
    <w:rsid w:val="00B05CA0"/>
    <w:pPr>
      <w:keepNext/>
      <w:spacing w:before="240" w:after="60"/>
      <w:outlineLvl w:val="0"/>
    </w:pPr>
    <w:rPr>
      <w:rFonts w:ascii="Arial" w:hAnsi="Arial"/>
      <w:b/>
      <w:kern w:val="28"/>
      <w:sz w:val="28"/>
    </w:rPr>
  </w:style>
  <w:style w:type="paragraph" w:styleId="Heading2">
    <w:name w:val="heading 2"/>
    <w:basedOn w:val="Normal"/>
    <w:next w:val="Normal"/>
    <w:link w:val="Heading2Char"/>
    <w:qFormat/>
    <w:rsid w:val="00B05CA0"/>
    <w:pPr>
      <w:keepNext/>
      <w:spacing w:before="240" w:after="60"/>
      <w:outlineLvl w:val="1"/>
    </w:pPr>
    <w:rPr>
      <w:rFonts w:ascii="Arial" w:hAnsi="Arial"/>
      <w:b/>
      <w:i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B05CA0"/>
    <w:rPr>
      <w:rFonts w:ascii="Arial" w:eastAsia="Times New Roman" w:hAnsi="Arial" w:cs="Times New Roman"/>
      <w:b/>
      <w:kern w:val="28"/>
      <w:sz w:val="28"/>
      <w:szCs w:val="20"/>
    </w:rPr>
  </w:style>
  <w:style w:type="character" w:customStyle="1" w:styleId="Heading2Char">
    <w:name w:val="Heading 2 Char"/>
    <w:basedOn w:val="DefaultParagraphFont"/>
    <w:link w:val="Heading2"/>
    <w:rsid w:val="00B05CA0"/>
    <w:rPr>
      <w:rFonts w:ascii="Arial" w:eastAsia="Times New Roman" w:hAnsi="Arial" w:cs="Times New Roman"/>
      <w:b/>
      <w:i/>
      <w:sz w:val="24"/>
      <w:szCs w:val="20"/>
    </w:rPr>
  </w:style>
  <w:style w:type="paragraph" w:styleId="Footer">
    <w:name w:val="footer"/>
    <w:basedOn w:val="Normal"/>
    <w:link w:val="FooterChar"/>
    <w:rsid w:val="00B05CA0"/>
    <w:pPr>
      <w:tabs>
        <w:tab w:val="center" w:pos="4320"/>
        <w:tab w:val="right" w:pos="9360"/>
      </w:tabs>
    </w:pPr>
    <w:rPr>
      <w:caps/>
      <w:sz w:val="20"/>
    </w:rPr>
  </w:style>
  <w:style w:type="character" w:customStyle="1" w:styleId="FooterChar">
    <w:name w:val="Footer Char"/>
    <w:basedOn w:val="DefaultParagraphFont"/>
    <w:link w:val="Footer"/>
    <w:rsid w:val="00B05CA0"/>
    <w:rPr>
      <w:rFonts w:ascii="Times New Roman" w:eastAsia="Times New Roman" w:hAnsi="Times New Roman" w:cs="Times New Roman"/>
      <w:caps/>
      <w:sz w:val="20"/>
      <w:szCs w:val="20"/>
    </w:rPr>
  </w:style>
  <w:style w:type="character" w:styleId="PageNumber">
    <w:name w:val="page number"/>
    <w:basedOn w:val="DefaultParagraphFont"/>
    <w:rsid w:val="00B05CA0"/>
  </w:style>
  <w:style w:type="paragraph" w:customStyle="1" w:styleId="SpecHead2">
    <w:name w:val="SpecHead2"/>
    <w:basedOn w:val="Normal"/>
    <w:next w:val="Normal"/>
    <w:rsid w:val="00B05CA0"/>
    <w:rPr>
      <w:b/>
    </w:rPr>
  </w:style>
  <w:style w:type="paragraph" w:styleId="Header">
    <w:name w:val="header"/>
    <w:basedOn w:val="Normal"/>
    <w:link w:val="HeaderChar"/>
    <w:rsid w:val="00B05CA0"/>
    <w:pPr>
      <w:tabs>
        <w:tab w:val="center" w:pos="4320"/>
        <w:tab w:val="center" w:pos="9360"/>
      </w:tabs>
    </w:pPr>
    <w:rPr>
      <w:sz w:val="20"/>
    </w:rPr>
  </w:style>
  <w:style w:type="character" w:customStyle="1" w:styleId="HeaderChar">
    <w:name w:val="Header Char"/>
    <w:basedOn w:val="DefaultParagraphFont"/>
    <w:link w:val="Header"/>
    <w:rsid w:val="00B05CA0"/>
    <w:rPr>
      <w:rFonts w:ascii="Times New Roman" w:eastAsia="Times New Roman" w:hAnsi="Times New Roman" w:cs="Times New Roman"/>
      <w:sz w:val="20"/>
      <w:szCs w:val="20"/>
    </w:rPr>
  </w:style>
  <w:style w:type="paragraph" w:styleId="BodyTextIndent2">
    <w:name w:val="Body Text Indent 2"/>
    <w:basedOn w:val="Normal"/>
    <w:link w:val="BodyTextIndent2Char"/>
    <w:rsid w:val="00B05CA0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rsid w:val="00B05CA0"/>
    <w:rPr>
      <w:rFonts w:ascii="Times New Roman" w:eastAsia="Times New Roman" w:hAnsi="Times New Roman" w:cs="Times New Roman"/>
      <w:sz w:val="24"/>
      <w:szCs w:val="20"/>
    </w:rPr>
  </w:style>
  <w:style w:type="paragraph" w:customStyle="1" w:styleId="SpecHead1">
    <w:name w:val="SpecHead1"/>
    <w:basedOn w:val="Normal"/>
    <w:rsid w:val="00B05CA0"/>
    <w:pPr>
      <w:spacing w:before="240" w:after="60"/>
      <w:jc w:val="left"/>
    </w:pPr>
    <w:rPr>
      <w:b/>
      <w:caps/>
      <w:u w:val="single"/>
    </w:rPr>
  </w:style>
  <w:style w:type="paragraph" w:styleId="ListParagraph">
    <w:name w:val="List Paragraph"/>
    <w:basedOn w:val="Normal"/>
    <w:uiPriority w:val="34"/>
    <w:qFormat/>
    <w:rsid w:val="00B05CA0"/>
    <w:pPr>
      <w:ind w:left="720"/>
      <w:contextualSpacing/>
    </w:pPr>
  </w:style>
  <w:style w:type="character" w:styleId="CommentReference">
    <w:name w:val="annotation reference"/>
    <w:basedOn w:val="DefaultParagraphFont"/>
    <w:rsid w:val="00B05CA0"/>
    <w:rPr>
      <w:sz w:val="16"/>
      <w:szCs w:val="16"/>
    </w:rPr>
  </w:style>
  <w:style w:type="paragraph" w:styleId="CommentText">
    <w:name w:val="annotation text"/>
    <w:basedOn w:val="Normal"/>
    <w:link w:val="CommentTextChar"/>
    <w:rsid w:val="00B05CA0"/>
    <w:rPr>
      <w:sz w:val="20"/>
    </w:rPr>
  </w:style>
  <w:style w:type="character" w:customStyle="1" w:styleId="CommentTextChar">
    <w:name w:val="Comment Text Char"/>
    <w:basedOn w:val="DefaultParagraphFont"/>
    <w:link w:val="CommentText"/>
    <w:rsid w:val="00B05CA0"/>
    <w:rPr>
      <w:rFonts w:ascii="Times New Roman" w:eastAsia="Times New Roman" w:hAnsi="Times New Roman" w:cs="Times New Roman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5CA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5CA0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A18A6BB-5862-4C5F-B91F-DFE1719F6B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610</Words>
  <Characters>3477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State of Connecticut Dept of Transportation</Company>
  <LinksUpToDate>false</LinksUpToDate>
  <CharactersWithSpaces>4079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Polineni, Raja</dc:creator>
  <cp:lastModifiedBy>Rodriguez, Jesus M.</cp:lastModifiedBy>
  <cp:revision>2</cp:revision>
  <dcterms:created xsi:type="dcterms:W3CDTF">2019-04-26T16:48:00Z</dcterms:created>
  <dcterms:modified xsi:type="dcterms:W3CDTF">2019-04-26T16:48:00Z</dcterms:modified>
</cp:coreProperties>
</file>